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CUỐI HỌC KÌ I - NĂM HỌC 2026 - 2027</w:t>
        <w:br/>
      </w:r>
      <w:r>
        <w:rPr>
          <w:b/>
          <w:sz w:val="22"/>
        </w:rPr>
        <w:t>MÔN: TIẾNG ANH 7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7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 - TIẾNG ANH 7</w:t>
        <w:br/>
      </w:r>
      <w:r>
        <w:rPr>
          <w:i/>
          <w:sz w:val="19"/>
        </w:rPr>
        <w:t>CHƯƠNG TRÌNH GLOBAL SUCCESS (UNIT 1 ĐẾN UNIT 6 (MUSIC &amp; ARTS, FOOD &amp; DRINK, SCHOOL))</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7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7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đến Unit 6 (Music &amp; Arts, Food &amp; Drink, School))</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CUỐI HỌC KÌ I</w:t>
        <w:br/>
      </w:r>
      <w:r>
        <w:rPr>
          <w:b/>
          <w:sz w:val="26"/>
        </w:rPr>
        <w:t>NĂM HỌC: 2026 - 2027 - MÔN: TIẾNG ANH 7 (MÃ ĐỀ 701 &amp; 702)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701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702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