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Patient-Friendly Interpretation of Vietnamese Blood Test Results</w:t>
      </w:r>
    </w:p>
    <w:p w14:paraId="2EAE67A6" w14:textId="77777777" w:rsidR="00527631" w:rsidRDefault="00407B88">
      <w:pPr>
        <w:pStyle w:val="author"/>
      </w:pPr>
      <w:r>
        <w:rPr/>
        <w:t>Vo Hoang Khang</w:t>
      </w:r>
      <w:r>
        <w:rPr>
          <w:vertAlign w:val="superscript"/>
        </w:rPr>
        <w:t>1,2,*</w:t>
      </w:r>
      <w:r>
        <w:rPr/>
        <w:t xml:space="preserve"> and Truong Quang Dai</w:t>
      </w:r>
      <w:r>
        <w:rPr>
          <w:vertAlign w:val="superscript"/>
        </w:rPr>
        <w:t>1,2,3</w:t>
      </w:r>
      <w:proofErr w:type="gramStart"/>
      <w:proofErr w:type="gramEnd"/>
    </w:p>
    <w:p w14:paraId="73CB15EE" w14:textId="372AE849" w:rsidR="00527631" w:rsidRDefault="00407B88">
      <w:pPr>
        <w:pStyle w:val="address"/>
      </w:pPr>
      <w:r>
        <w:rPr>
          <w:vertAlign w:val="superscript"/>
        </w:rPr>
        <w:t>1</w:t>
      </w:r>
      <w:r>
        <w:rPr/>
        <w:t xml:space="preserve"> Vietnam-Korea Institute of Technology, HUTECH University, Ho Chi Minh City, Vietnam</w:t>
      </w:r>
    </w:p>
    <w:p w14:paraId="73CB15EE" w14:textId="372AE849" w:rsidR="00527631" w:rsidRDefault="00407B88">
      <w:pPr>
        <w:pStyle w:val="address"/>
      </w:pPr>
      <w:r>
        <w:rPr>
          <w:vertAlign w:val="superscript"/>
        </w:rPr>
        <w:t>2</w:t>
      </w:r>
      <w:r>
        <w:rPr/>
        <w:t xml:space="preserve"> Faculty of Information Technology, HUTECH University, Ho Chi Minh City, Vietnam</w:t>
      </w:r>
    </w:p>
    <w:p w14:paraId="73CB15EE" w14:textId="372AE849" w:rsidR="00527631" w:rsidRDefault="00407B88">
      <w:pPr>
        <w:pStyle w:val="address"/>
      </w:pPr>
      <w:r>
        <w:rPr>
          <w:vertAlign w:val="superscript"/>
        </w:rPr>
        <w:t>3</w:t>
      </w:r>
      <w:r>
        <w:rPr/>
        <w:t xml:space="preserve"> FPT Telecom, Ho Chi Minh City, Vietnam</w:t>
      </w:r>
    </w:p>
    <w:p w14:paraId="5115485E" w14:textId="7B5C5385" w:rsidR="00527631" w:rsidRDefault="003918C6">
      <w:pPr>
        <w:pStyle w:val="address"/>
      </w:pPr>
      <w:r>
        <w:rPr/>
        <w:t>{vh.khang@hutech.edu.vn, truongquangdaihutech@gmail.com}</w:t>
      </w:r>
    </w:p>
    <w:p w14:paraId="38861032" w14:textId="77777777" w:rsidR="00527631" w:rsidRDefault="00407B88">
      <w:pPr>
        <w:pStyle w:val="address"/>
      </w:pPr>
      <w:r>
        <w:rPr/>
        <w:t>* Corresponding author: Vo Hoang Khang (vh.khang@hutech.edu.vn)</w:t>
      </w:r>
    </w:p>
    <w:p w14:paraId="0A282409" w14:textId="04BA52E2" w:rsidR="00527631" w:rsidRDefault="00407B88">
      <w:pPr>
        <w:pStyle w:val="abstract"/>
      </w:pPr>
      <w:r>
        <w:rPr>
          <w:b/>
        </w:rPr>
        <w:t>Abstract.</w:t>
      </w:r>
      <w:r>
        <w:t xml:space="preserve"> Vietnames</w:t>
      </w:r>
      <w:r>
        <w:t>e patients increasingly ask general-purpose language models to explain laboratory reports, yet an unconstrained model can misstate results or falsely reassure. This study evaluates a rule-constrained pipeline in which deterministic rules assign every clini</w:t>
      </w:r>
      <w:r>
        <w:t xml:space="preserve">cal label before </w:t>
      </w:r>
      <w:r w:rsidR="00382AF2">
        <w:t>invoking a language model;</w:t>
      </w:r>
      <w:r>
        <w:t xml:space="preserve"> the model only paraphrases those labels, and a post-generation validator checks the output. On 150 synthetic complete blood count panels with known labels, an unconstrained Qwen2.5-3B model misstated at least o</w:t>
      </w:r>
      <w:r>
        <w:t>ne analyte direction in 91.3% of panels and falsely reassured in 32.0%. Prompt constraints reduced these rates to 12.7% and 8.0%; adding validation produced no unsafe output, with 64.0% of panels served by model text and 36.0% by fixed templates. The syste</w:t>
      </w:r>
      <w:r>
        <w:t>m runs on a CPU without a GPU. All results come from a single 3-billion-parameter model served locally, so they bound what a small on-premises model does, not what the larger hosted services patients typically use would do. Readability and patient comprehension were not measured; the evaluation establishes consistency with the assigned labels only.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lastRenderedPageBreak/>
        <w:t>Three questions guide the stu</w:t>
      </w:r>
      <w:r>
        <w:t>dy: (RQ1) How often does unconstrained generation misstate results or falsely reassure on panels with known labels? (RQ2) How much do rule-assigned labels and prompt constraints reduce these errors? (RQ3) Can a post-generation validator eliminate unsafe ou</w:t>
      </w:r>
      <w:r>
        <w:t>tput, and at what cost in fallback and latency? The study is an internal evaluation on synthetic data, not a clinical trial.</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lastRenderedPageBreak/>
        <w:t>The contribution is an architecture t</w:t>
      </w:r>
      <w:r>
        <w:t>hat separates clinical judgement from generation, a validator with template fallback, and an evaluation that reports false reassurance separately, together with a unit-normalisation failure observed on Vietnamese laboratory conventions. It does not propose</w:t>
      </w:r>
      <w:r>
        <w:t xml:space="preserve"> a new language model or claim clinical benefit.</w:t>
      </w:r>
    </w:p>
    <w:p w14:paraId="4C40915E" w14:textId="7B0A6B3C" w:rsidR="00527631" w:rsidRDefault="00407B88">
      <w:pPr>
        <w:pStyle w:val="p1a"/>
      </w:pPr>
      <w:r>
        <w:t>Rules that decide and a model that only renders those decisions is an established pattern rather than a new one. Guardrail toolkits place programmable checks around a language model [18], and the data-to-text literature has long separated content selection from surface realisation [19]. Work on data-to-document generation reports that neural generators misstate facts present in their input [20], and accuracy evaluation in that field relies on human protocols rather than automatic scores [21]. Our pipeline inherits that division of labour and adds nothing to it architecturally. What we contribute is narrower: false reassurance measured as a separate class, the cost of the guarantee reported alongside it, and a quantified failure of the deterministic layer under Vietnamese unit conventions.</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w:t>
      </w:r>
      <w:r>
        <w:rPr>
          <w:vertAlign w:val="subscript"/>
        </w:rPr>
        <w:t>j</w:t>
      </w:r>
      <w:r>
        <w:t xml:space="preserve"> is an analyte-specific severity factor between 0.15 and 0.50</w:t>
      </w:r>
      <w:r>
        <w:t xml:space="preserve"> for the 22 analytes. The factors were set heuristically, not from a critical-value list. The panel label is the most severe analyte label. Classification is therefore exact with respect to the configured intervals and severity factors, and cannot be altered by the model; it is not a claim that those thresholds are clinically validated. The reference intervals are those printed by one Vietnamese laboratory for adults, and the severity factors are ours. Both are listed per analyte, with their provenance, in the supplementary table nguon_khoang_tham_chieu.csv.</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w:t>
      </w:r>
      <w:r>
        <w:t xml:space="preserve">se reassurance in the closing statement, direction mismatch in the structured status field, contradictory wording in the prose, forbidden terms, fabricated analytes, and omitted analytes. Before pattern matching, text is lower-cased, Vietnamese diacritics </w:t>
      </w:r>
      <w:r>
        <w:t>are removed, and phrases naming the reference interval, such as “higher than normal”, are masked so that “normal” is not read as a status claim. A failing output is regenerated up to a limit and then replaced by a fixed template stating value, interval, an</w:t>
      </w:r>
      <w:r>
        <w:t>d label, so the pipeline never returns unverified text.</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divided equally into normal, monitor, and seek-ca</w:t>
      </w:r>
      <w:r>
        <w:t>re panels. Synthetic data provides known labels and a balanced design, and avoids handling patient records. Aliases and units are sampled at random to exercise Layer 1; values are rounded as laboratories print them, and panels whose rounded values leave th</w:t>
      </w:r>
      <w:r>
        <w:t>e intended class are regenerated.</w:t>
      </w:r>
    </w:p>
    <w:p w14:paraId="41148692" w14:textId="77777777" w:rsidR="00527631" w:rsidRDefault="00407B88">
      <w:r>
        <w:t xml:space="preserve">Three configurations are compared on the same panels. Baseline gives raw values and intervals to the model with no labels, constraints, or validation, approximating a patient pasting a report into a chatbot. </w:t>
      </w:r>
      <w:r>
        <w:t>Constrained uses Layers 1–3 without validation. Full uses all four layers.</w:t>
      </w:r>
    </w:p>
    <w:p w14:paraId="4C40915E" w14:textId="7B0A6B3C" w:rsidR="00527631" w:rsidRDefault="00407B88">
      <w:pPr>
        <w:pStyle w:val="p1a"/>
      </w:pPr>
      <w:r>
        <w:t>The constrained configuration bundles three mechanisms: rule-assigned labels, the content prohibitions in the prompt, and the fixed JSON schema. To separate them, three further configurations were run on the same panels with the same model. Labels only supplies the labels and the schema, with the prohibitions removed. Constraints only keeps the prohibitions and the schema but gives raw values, as in the baseline. Validator only uses the baseline prompt and adds Layer 4: validation, regeneration up to the retry limit, and template fallback.</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Safe output is the proportion of panels whose final output passes validation, including fallback templates; model-generated pass counts only panels passed by model text.</w:t>
      </w:r>
      <w:r>
        <w:t xml:space="preserve"> Error metrics count panels with at least one instance of each of the six classes. Formatting errors, namely display names instead of canonical codes and unparseable JSON, are reported separately. Runtime was measured on an Intel Core i5-9400F with 24 GB R</w:t>
      </w:r>
      <w:r>
        <w:t>AM and no GPU. Each configuration was run once, and all results are descriptive.</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w:t>
      </w:r>
      <w:r>
        <w:t xml:space="preserve"> Comparison of the three config</w:t>
      </w:r>
      <w:r>
        <w:t>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Safe output</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 xml:space="preserve">Unconstrained generation was unsafe. Baseline produced no acceptable output, misstated at least one direction in 91.3% of </w:t>
      </w:r>
      <w:r>
        <w:t xml:space="preserve">panels, and asserted that all results were normal on 32.0% of panels, roughly one patient in three. Pre-assigned labels and prompt constraints produced the largest drop, reducing direction mismatch to 12.7%, forbidden terms to 15.3%, contradictory wording </w:t>
      </w:r>
      <w:r>
        <w:t>to 5.3%, and false reassurance to 8.0%; nevertheless, 52.0% of constrained outputs still failed validation.</w:t>
      </w:r>
    </w:p>
    <w:p w14:paraId="081C55F5" w14:textId="77777777" w:rsidR="00527631" w:rsidRDefault="00407B88">
      <w:r>
        <w:t>Full passed validation on all 150 panels. This figure requires qualification: 64.0% of panels were served by model text and 36.0% by fixed templates</w:t>
      </w:r>
      <w:r>
        <w:t xml:space="preserve"> after regeneration failed. The guarantee is therefore a property of the pipeline, not evidence that a 3B model writes reliably, although regeneration raised the model-generated pass rate from 48.0% to 64.0%.</w:t>
      </w:r>
    </w:p>
    <w:p w14:paraId="421A5C7D" w14:textId="77777777" w:rsidR="00527631" w:rsidRDefault="00407B88">
      <w:r>
        <w:t>In baseline, 97.3% of outputs used display name</w:t>
      </w:r>
      <w:r>
        <w:t>s instead of canonical codes and 2.0% were unparseable; both fell to zero under the schema constraint. Full required 1.97 generation attempts on average and 68.3 s per panel, about twice the baseline latency.</w:t>
      </w:r>
    </w:p>
    <w:p w14:paraId="4C40915E" w14:textId="7B0A6B3C" w:rsidR="00527631" w:rsidRDefault="00407B88">
      <w:pPr>
        <w:pStyle w:val="p1a"/>
      </w:pPr>
      <w:r>
        <w:t>One configuration detail deserves scrutiny. In the baseline, 97.3% of outputs identified analytes by display name instead of the canonical code, which raises the question of how much of its 0.0% safe-output rate reflects formatting rather than content. Every baseline output was therefore re-scored after mapping each returned name back to its canonical code through the alias table, which removes code-format errors entirely. Safe output rises from 0.0% to 0.7%, that is from zero to one panel in 150. Direction mismatch rises from 91.3% to 92.7%, because items previously counted as fabricated are now resolved to a real analyte and judged on their stated direction. False reassurance (32.0%) and contradictory wording (56.0%) are unchanged. The baseline fails on content, not on formatting.</w:t>
      </w:r>
    </w:p>
    <w:p w14:paraId="4C40915E" w14:textId="7B0A6B3C" w:rsidR="00527631" w:rsidRDefault="00407B88">
      <w:pPr>
        <w:pStyle w:val="p1a"/>
      </w:pPr>
      <w:r>
        <w:t>Section 3.1 treats unit heterogeneity as a safety problem rather than a data-reuse problem, and the claim can be quantified on the same panels. Of 2,118 analyte readings, 143 (6.8%) were reported in a unit of different magnitude from the canonical one. Had the pipeline compared those readings against the reference interval without conversion, 135 of them (94.4%) would have received the wrong label, affecting 97 of 150 panels (64.7%). All 135 errors were false alarms at the most severe level; a normal haemoglobin of 14.56 g/dL, for example, is classified as seek care against a 130–175 g/L interval. None ran in the safer direction. The failure is confined to the deterministic layer and is invisible to Layer 4, because every later stage faithfully reproduces the label.</w:t>
      </w:r>
    </w:p>
    <w:p w14:paraId="4C40915E" w14:textId="7B0A6B3C" w:rsidR="00527631" w:rsidRDefault="00407B88">
      <w:pPr>
        <w:pStyle w:val="p1a"/>
      </w:pPr>
      <w:r>
        <w:t>Table 3 separates the three mechanisms. Labels carry the correctness improvement: supplying them alone cuts direction mismatch from 91.3% to 14.0% and yields 38.7% safe output. Prompt constraints alone do not: direction mismatch stays at 87.3% and false reassurance rises to 43.3%, above the baseline, while the one effect they do have is on vocabulary, with forbidden terms falling from 79.3% to 35.3%. Instructing the model to be careful makes it speak more cautiously, not more correctly. The validator alone reaches 100.0% safe output, but every panel falls back to a template: 0.0% of panels were served by model text, against 64.0% in the full pipeline. Without labels to check against, Layer 4 can still guarantee safety, but only by discarding the explanation and returning what amounts to the original report.</w:t>
      </w:r>
    </w:p>
    <w:p w14:paraId="3DAFBF2B" w14:textId="77777777" w:rsidR="00527631" w:rsidRDefault="00407B88">
      <w:pPr>
        <w:pStyle w:val="tablecaption"/>
      </w:pPr>
      <w:r>
        <w:rPr>
          <w:b/>
        </w:rPr>
        <w:t xml:space="preserve">Table 3. </w:t>
      </w:r>
      <w:r>
        <w:rPr>
          <w:b w:val="0"/>
        </w:rPr>
        <w:t>Contribution of each mechanism, 150 synthetic panels, values as % of panels except the last column.</w:t>
      </w:r>
    </w:p>
    <w:tbl>
      <w:tblPr>
        <w:tblStyle w:val="TableGrid"/>
        <w:tblW w:type="auto" w:w="0"/>
        <w:tblLook w:firstColumn="1" w:firstRow="1" w:lastColumn="0" w:lastRow="0" w:noHBand="0" w:noVBand="1" w:val="04A0"/>
      </w:tblPr>
      <w:tblGrid>
        <w:gridCol w:w="988"/>
        <w:gridCol w:w="988"/>
        <w:gridCol w:w="988"/>
        <w:gridCol w:w="988"/>
        <w:gridCol w:w="988"/>
        <w:gridCol w:w="988"/>
        <w:gridCol w:w="988"/>
      </w:tblGrid>
      <w:tr>
        <w:tc>
          <w:tcPr>
            <w:tcW w:type="dxa" w:w="988"/>
          </w:tcPr>
          <w:p>
            <w:pPr>
              <w:pStyle w:val="Noidungbang"/>
            </w:pPr>
            <w:r>
              <w:rPr>
                <w:b/>
                <w:sz w:val="16"/>
              </w:rPr>
              <w:t>Configuration</w:t>
            </w:r>
          </w:p>
        </w:tc>
        <w:tc>
          <w:tcPr>
            <w:tcW w:type="dxa" w:w="988"/>
          </w:tcPr>
          <w:p>
            <w:pPr>
              <w:pStyle w:val="Noidungbang"/>
              <w:jc w:val="right"/>
            </w:pPr>
            <w:r>
              <w:rPr>
                <w:b/>
                <w:sz w:val="16"/>
              </w:rPr>
              <w:t>Safe</w:t>
            </w:r>
          </w:p>
        </w:tc>
        <w:tc>
          <w:tcPr>
            <w:tcW w:type="dxa" w:w="988"/>
          </w:tcPr>
          <w:p>
            <w:pPr>
              <w:pStyle w:val="Noidungbang"/>
              <w:jc w:val="right"/>
            </w:pPr>
            <w:r>
              <w:rPr>
                <w:b/>
                <w:sz w:val="16"/>
              </w:rPr>
              <w:t>Model text</w:t>
            </w:r>
          </w:p>
        </w:tc>
        <w:tc>
          <w:tcPr>
            <w:tcW w:type="dxa" w:w="988"/>
          </w:tcPr>
          <w:p>
            <w:pPr>
              <w:pStyle w:val="Noidungbang"/>
              <w:jc w:val="right"/>
            </w:pPr>
            <w:r>
              <w:rPr>
                <w:b/>
                <w:sz w:val="16"/>
              </w:rPr>
              <w:t>Direction</w:t>
            </w:r>
          </w:p>
        </w:tc>
        <w:tc>
          <w:tcPr>
            <w:tcW w:type="dxa" w:w="988"/>
          </w:tcPr>
          <w:p>
            <w:pPr>
              <w:pStyle w:val="Noidungbang"/>
              <w:jc w:val="right"/>
            </w:pPr>
            <w:r>
              <w:rPr>
                <w:b/>
                <w:sz w:val="16"/>
              </w:rPr>
              <w:t>False reass.</w:t>
            </w:r>
          </w:p>
        </w:tc>
        <w:tc>
          <w:tcPr>
            <w:tcW w:type="dxa" w:w="988"/>
          </w:tcPr>
          <w:p>
            <w:pPr>
              <w:pStyle w:val="Noidungbang"/>
              <w:jc w:val="right"/>
            </w:pPr>
            <w:r>
              <w:rPr>
                <w:b/>
                <w:sz w:val="16"/>
              </w:rPr>
              <w:t>Forbidden</w:t>
            </w:r>
          </w:p>
        </w:tc>
        <w:tc>
          <w:tcPr>
            <w:tcW w:type="dxa" w:w="988"/>
          </w:tcPr>
          <w:p>
            <w:pPr>
              <w:pStyle w:val="Noidungbang"/>
              <w:jc w:val="right"/>
            </w:pPr>
            <w:r>
              <w:rPr>
                <w:b/>
                <w:sz w:val="16"/>
              </w:rPr>
              <w:t>Time (s)</w:t>
            </w:r>
          </w:p>
        </w:tc>
      </w:tr>
      <w:tr>
        <w:tc>
          <w:tcPr>
            <w:tcW w:type="dxa" w:w="988"/>
          </w:tcPr>
          <w:p>
            <w:pPr>
              <w:pStyle w:val="Noidungbang"/>
            </w:pPr>
            <w:r>
              <w:rPr>
                <w:b w:val="0"/>
                <w:sz w:val="16"/>
              </w:rPr>
              <w:t>Baseline</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91.3</w:t>
            </w:r>
          </w:p>
        </w:tc>
        <w:tc>
          <w:tcPr>
            <w:tcW w:type="dxa" w:w="988"/>
          </w:tcPr>
          <w:p>
            <w:pPr>
              <w:pStyle w:val="Noidungbang"/>
              <w:jc w:val="right"/>
            </w:pPr>
            <w:r>
              <w:rPr>
                <w:b w:val="0"/>
                <w:sz w:val="16"/>
              </w:rPr>
              <w:t>32.0</w:t>
            </w:r>
          </w:p>
        </w:tc>
        <w:tc>
          <w:tcPr>
            <w:tcW w:type="dxa" w:w="988"/>
          </w:tcPr>
          <w:p>
            <w:pPr>
              <w:pStyle w:val="Noidungbang"/>
              <w:jc w:val="right"/>
            </w:pPr>
            <w:r>
              <w:rPr>
                <w:b w:val="0"/>
                <w:sz w:val="16"/>
              </w:rPr>
              <w:t>79.3</w:t>
            </w:r>
          </w:p>
        </w:tc>
        <w:tc>
          <w:tcPr>
            <w:tcW w:type="dxa" w:w="988"/>
          </w:tcPr>
          <w:p>
            <w:pPr>
              <w:pStyle w:val="Noidungbang"/>
              <w:jc w:val="right"/>
            </w:pPr>
            <w:r>
              <w:rPr>
                <w:b w:val="0"/>
                <w:sz w:val="16"/>
              </w:rPr>
              <w:t>38.9</w:t>
            </w:r>
          </w:p>
        </w:tc>
      </w:tr>
      <w:tr>
        <w:tc>
          <w:tcPr>
            <w:tcW w:type="dxa" w:w="988"/>
          </w:tcPr>
          <w:p>
            <w:pPr>
              <w:pStyle w:val="Noidungbang"/>
            </w:pPr>
            <w:r>
              <w:rPr>
                <w:b w:val="0"/>
                <w:sz w:val="16"/>
              </w:rPr>
              <w:t>Labels only</w:t>
            </w:r>
          </w:p>
        </w:tc>
        <w:tc>
          <w:tcPr>
            <w:tcW w:type="dxa" w:w="988"/>
          </w:tcPr>
          <w:p>
            <w:pPr>
              <w:pStyle w:val="Noidungbang"/>
              <w:jc w:val="right"/>
            </w:pPr>
            <w:r>
              <w:rPr>
                <w:b w:val="0"/>
                <w:sz w:val="16"/>
              </w:rPr>
              <w:t>38.7</w:t>
            </w:r>
          </w:p>
        </w:tc>
        <w:tc>
          <w:tcPr>
            <w:tcW w:type="dxa" w:w="988"/>
          </w:tcPr>
          <w:p>
            <w:pPr>
              <w:pStyle w:val="Noidungbang"/>
              <w:jc w:val="right"/>
            </w:pPr>
            <w:r>
              <w:rPr>
                <w:b w:val="0"/>
                <w:sz w:val="16"/>
              </w:rPr>
              <w:t>38.7</w:t>
            </w:r>
          </w:p>
        </w:tc>
        <w:tc>
          <w:tcPr>
            <w:tcW w:type="dxa" w:w="988"/>
          </w:tcPr>
          <w:p>
            <w:pPr>
              <w:pStyle w:val="Noidungbang"/>
              <w:jc w:val="right"/>
            </w:pPr>
            <w:r>
              <w:rPr>
                <w:b w:val="0"/>
                <w:sz w:val="16"/>
              </w:rPr>
              <w:t>14.0</w:t>
            </w:r>
          </w:p>
        </w:tc>
        <w:tc>
          <w:tcPr>
            <w:tcW w:type="dxa" w:w="988"/>
          </w:tcPr>
          <w:p>
            <w:pPr>
              <w:pStyle w:val="Noidungbang"/>
              <w:jc w:val="right"/>
            </w:pPr>
            <w:r>
              <w:rPr>
                <w:b w:val="0"/>
                <w:sz w:val="16"/>
              </w:rPr>
              <w:t>10.7</w:t>
            </w:r>
          </w:p>
        </w:tc>
        <w:tc>
          <w:tcPr>
            <w:tcW w:type="dxa" w:w="988"/>
          </w:tcPr>
          <w:p>
            <w:pPr>
              <w:pStyle w:val="Noidungbang"/>
              <w:jc w:val="right"/>
            </w:pPr>
            <w:r>
              <w:rPr>
                <w:b w:val="0"/>
                <w:sz w:val="16"/>
              </w:rPr>
              <w:t>46.0</w:t>
            </w:r>
          </w:p>
        </w:tc>
        <w:tc>
          <w:tcPr>
            <w:tcW w:type="dxa" w:w="988"/>
          </w:tcPr>
          <w:p>
            <w:pPr>
              <w:pStyle w:val="Noidungbang"/>
              <w:jc w:val="right"/>
            </w:pPr>
            <w:r>
              <w:rPr>
                <w:b w:val="0"/>
                <w:sz w:val="16"/>
              </w:rPr>
              <w:t>38.4</w:t>
            </w:r>
          </w:p>
        </w:tc>
      </w:tr>
      <w:tr>
        <w:tc>
          <w:tcPr>
            <w:tcW w:type="dxa" w:w="988"/>
          </w:tcPr>
          <w:p>
            <w:pPr>
              <w:pStyle w:val="Noidungbang"/>
            </w:pPr>
            <w:r>
              <w:rPr>
                <w:b w:val="0"/>
                <w:sz w:val="16"/>
              </w:rPr>
              <w:t>Constraints only</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87.3</w:t>
            </w:r>
          </w:p>
        </w:tc>
        <w:tc>
          <w:tcPr>
            <w:tcW w:type="dxa" w:w="988"/>
          </w:tcPr>
          <w:p>
            <w:pPr>
              <w:pStyle w:val="Noidungbang"/>
              <w:jc w:val="right"/>
            </w:pPr>
            <w:r>
              <w:rPr>
                <w:b w:val="0"/>
                <w:sz w:val="16"/>
              </w:rPr>
              <w:t>43.3</w:t>
            </w:r>
          </w:p>
        </w:tc>
        <w:tc>
          <w:tcPr>
            <w:tcW w:type="dxa" w:w="988"/>
          </w:tcPr>
          <w:p>
            <w:pPr>
              <w:pStyle w:val="Noidungbang"/>
              <w:jc w:val="right"/>
            </w:pPr>
            <w:r>
              <w:rPr>
                <w:b w:val="0"/>
                <w:sz w:val="16"/>
              </w:rPr>
              <w:t>35.3</w:t>
            </w:r>
          </w:p>
        </w:tc>
        <w:tc>
          <w:tcPr>
            <w:tcW w:type="dxa" w:w="988"/>
          </w:tcPr>
          <w:p>
            <w:pPr>
              <w:pStyle w:val="Noidungbang"/>
              <w:jc w:val="right"/>
            </w:pPr>
            <w:r>
              <w:rPr>
                <w:b w:val="0"/>
                <w:sz w:val="16"/>
              </w:rPr>
              <w:t>27.0</w:t>
            </w:r>
          </w:p>
        </w:tc>
      </w:tr>
      <w:tr>
        <w:tc>
          <w:tcPr>
            <w:tcW w:type="dxa" w:w="988"/>
          </w:tcPr>
          <w:p>
            <w:pPr>
              <w:pStyle w:val="Noidungbang"/>
            </w:pPr>
            <w:r>
              <w:rPr>
                <w:b w:val="0"/>
                <w:sz w:val="16"/>
              </w:rPr>
              <w:t>Validator only</w:t>
            </w:r>
          </w:p>
        </w:tc>
        <w:tc>
          <w:tcPr>
            <w:tcW w:type="dxa" w:w="988"/>
          </w:tcPr>
          <w:p>
            <w:pPr>
              <w:pStyle w:val="Noidungbang"/>
              <w:jc w:val="right"/>
            </w:pPr>
            <w:r>
              <w:rPr>
                <w:b w:val="0"/>
                <w:sz w:val="16"/>
              </w:rPr>
              <w:t>100.0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95.5</w:t>
            </w:r>
          </w:p>
        </w:tc>
      </w:tr>
      <w:tr>
        <w:tc>
          <w:tcPr>
            <w:tcW w:type="dxa" w:w="988"/>
          </w:tcPr>
          <w:p>
            <w:pPr>
              <w:pStyle w:val="Noidungbang"/>
            </w:pPr>
            <w:r>
              <w:rPr>
                <w:b w:val="0"/>
                <w:sz w:val="16"/>
              </w:rPr>
              <w:t>Constrained</w:t>
            </w:r>
          </w:p>
        </w:tc>
        <w:tc>
          <w:tcPr>
            <w:tcW w:type="dxa" w:w="988"/>
          </w:tcPr>
          <w:p>
            <w:pPr>
              <w:pStyle w:val="Noidungbang"/>
              <w:jc w:val="right"/>
            </w:pPr>
            <w:r>
              <w:rPr>
                <w:b w:val="0"/>
                <w:sz w:val="16"/>
              </w:rPr>
              <w:t>48.0</w:t>
            </w:r>
          </w:p>
        </w:tc>
        <w:tc>
          <w:tcPr>
            <w:tcW w:type="dxa" w:w="988"/>
          </w:tcPr>
          <w:p>
            <w:pPr>
              <w:pStyle w:val="Noidungbang"/>
              <w:jc w:val="right"/>
            </w:pPr>
            <w:r>
              <w:rPr>
                <w:b w:val="0"/>
                <w:sz w:val="16"/>
              </w:rPr>
              <w:t>48.0</w:t>
            </w:r>
          </w:p>
        </w:tc>
        <w:tc>
          <w:tcPr>
            <w:tcW w:type="dxa" w:w="988"/>
          </w:tcPr>
          <w:p>
            <w:pPr>
              <w:pStyle w:val="Noidungbang"/>
              <w:jc w:val="right"/>
            </w:pPr>
            <w:r>
              <w:rPr>
                <w:b w:val="0"/>
                <w:sz w:val="16"/>
              </w:rPr>
              <w:t>12.7</w:t>
            </w:r>
          </w:p>
        </w:tc>
        <w:tc>
          <w:tcPr>
            <w:tcW w:type="dxa" w:w="988"/>
          </w:tcPr>
          <w:p>
            <w:pPr>
              <w:pStyle w:val="Noidungbang"/>
              <w:jc w:val="right"/>
            </w:pPr>
            <w:r>
              <w:rPr>
                <w:b w:val="0"/>
                <w:sz w:val="16"/>
              </w:rPr>
              <w:t>8.0</w:t>
            </w:r>
          </w:p>
        </w:tc>
        <w:tc>
          <w:tcPr>
            <w:tcW w:type="dxa" w:w="988"/>
          </w:tcPr>
          <w:p>
            <w:pPr>
              <w:pStyle w:val="Noidungbang"/>
              <w:jc w:val="right"/>
            </w:pPr>
            <w:r>
              <w:rPr>
                <w:b w:val="0"/>
                <w:sz w:val="16"/>
              </w:rPr>
              <w:t>15.3</w:t>
            </w:r>
          </w:p>
        </w:tc>
        <w:tc>
          <w:tcPr>
            <w:tcW w:type="dxa" w:w="988"/>
          </w:tcPr>
          <w:p>
            <w:pPr>
              <w:pStyle w:val="Noidungbang"/>
              <w:jc w:val="right"/>
            </w:pPr>
            <w:r>
              <w:rPr>
                <w:b w:val="0"/>
                <w:sz w:val="16"/>
              </w:rPr>
              <w:t>35.8</w:t>
            </w:r>
          </w:p>
        </w:tc>
      </w:tr>
      <w:tr>
        <w:tc>
          <w:tcPr>
            <w:tcW w:type="dxa" w:w="988"/>
          </w:tcPr>
          <w:p>
            <w:pPr>
              <w:pStyle w:val="Noidungbang"/>
            </w:pPr>
            <w:r>
              <w:rPr>
                <w:b w:val="0"/>
                <w:sz w:val="16"/>
              </w:rPr>
              <w:t>Full</w:t>
            </w:r>
          </w:p>
        </w:tc>
        <w:tc>
          <w:tcPr>
            <w:tcW w:type="dxa" w:w="988"/>
          </w:tcPr>
          <w:p>
            <w:pPr>
              <w:pStyle w:val="Noidungbang"/>
              <w:jc w:val="right"/>
            </w:pPr>
            <w:r>
              <w:rPr>
                <w:b w:val="0"/>
                <w:sz w:val="16"/>
              </w:rPr>
              <w:t>100.0</w:t>
            </w:r>
          </w:p>
        </w:tc>
        <w:tc>
          <w:tcPr>
            <w:tcW w:type="dxa" w:w="988"/>
          </w:tcPr>
          <w:p>
            <w:pPr>
              <w:pStyle w:val="Noidungbang"/>
              <w:jc w:val="right"/>
            </w:pPr>
            <w:r>
              <w:rPr>
                <w:b w:val="0"/>
                <w:sz w:val="16"/>
              </w:rPr>
              <w:t>64.0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68.3</w:t>
            </w:r>
          </w:p>
        </w:tc>
      </w:tr>
    </w:tbl>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w:t>
      </w:r>
      <w:r>
        <w:t>ristic thresholds with a laboratory's critical-value list changes only the labels, and a larger model would raise the model-generated pass rate without changing the guarantee supplied by Layer 4.</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w:t>
      </w:r>
      <w:r>
        <w:t xml:space="preserve"> is a safety problem, not only a data-reuse problem. The g/dL-versus-g/L failure occurred in the deterministic layer with complete internal consistency, and no downstream check could detect it; standards such as LOINC and HL7 FHIR are therefore preconditio</w:t>
      </w:r>
      <w:r>
        <w:t>ns for rule-based clinical logic in Vietnamese laboratory reporting. A CPU runtime of 68.3 s per panel is acceptable for a once-per-report task and avoids GPU cost for provincial hospitals; for the 36.0% fallback panels, output is no better than the report</w:t>
      </w:r>
      <w:r>
        <w:t xml:space="preserve"> but never misleading.</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severity factors are heuristic and are not clinical re</w:t>
      </w:r>
      <w:r>
        <w:t>commendations. Panels are synthetic and lack the noise, missing fields, and format variation of real reports, and Layer 4 matches surface patterns that indirect phrasing can evade.</w:t>
      </w:r>
    </w:p>
    <w:p w14:paraId="6D66C8E2" w14:textId="77777777" w:rsidR="00527631" w:rsidRDefault="00407B88">
      <w:r>
        <w:t>Only structured complete blood count panels are supported; one-sided intervals and qualitative results are not handled, and results come from one 3B model. Sex- and age-specific intervals are not handled either, which matters most for haemoglobin, haematocrit and red cell count: a woman's result may be labelled abnormal against a male-derived interval. Expert review, validated critical-value thresholds, broader test panels, and evaluation on real reports from multiple laboratories remain future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w:t>
      </w:r>
      <w:r>
        <w:t xml:space="preserve"> to 8.0% with prompt constraints and to zero with validation, with 64.0% of panels served by model text and 36.0% by templates. The contribution is an auditable architecture and a separately reported false-reassurance metric; clinical validation is require</w:t>
      </w:r>
      <w:r>
        <w:t>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p w14:paraId="3313D8AA" w14:textId="77777777" w:rsidR="00527631" w:rsidRDefault="00407B88" w:rsidP="00382AF2">
      <w:pPr>
        <w:pStyle w:val="referenceitem"/>
        <w:numPr>
          <w:ilvl w:val="0"/>
          <w:numId w:val="15"/>
        </w:numPr>
      </w:pPr>
      <w:r>
        <w:t>Rebedea, T., Dinu, R., Sreedhar, M.N., Parisien, C., Cohen, J.: NeMo Guardrails: a toolkit for controllable and safe LLM applications with programmable rails. In: Proceedings of the 2023 Conference on Empirical Methods in Natural Language Processing: System Demonstrations, pp. 431–445 (2023)</w:t>
      </w:r>
    </w:p>
    <w:p w14:paraId="3313D8AA" w14:textId="77777777" w:rsidR="00527631" w:rsidRDefault="00407B88" w:rsidP="00382AF2">
      <w:pPr>
        <w:pStyle w:val="referenceitem"/>
        <w:numPr>
          <w:ilvl w:val="0"/>
          <w:numId w:val="15"/>
        </w:numPr>
      </w:pPr>
      <w:r>
        <w:t>Gatt, A., Krahmer, E.: Survey of the state of the art in natural language generation: core tasks, applications and evaluation. Journal of Artificial Intelligence Research 61, 65–170 (2018)</w:t>
      </w:r>
    </w:p>
    <w:p w14:paraId="3313D8AA" w14:textId="77777777" w:rsidR="00527631" w:rsidRDefault="00407B88" w:rsidP="00382AF2">
      <w:pPr>
        <w:pStyle w:val="referenceitem"/>
        <w:numPr>
          <w:ilvl w:val="0"/>
          <w:numId w:val="15"/>
        </w:numPr>
      </w:pPr>
      <w:r>
        <w:t>Wiseman, S., Shieber, S.M., Rush, A.M.: Challenges in data-to-document generation. In: Proceedings of the 2017 Conference on Empirical Methods in Natural Language Processing, pp. 2253–2263 (2017)</w:t>
      </w:r>
    </w:p>
    <w:p w14:paraId="3313D8AA" w14:textId="77777777" w:rsidR="00527631" w:rsidRDefault="00407B88" w:rsidP="00382AF2">
      <w:pPr>
        <w:pStyle w:val="referenceitem"/>
        <w:numPr>
          <w:ilvl w:val="0"/>
          <w:numId w:val="15"/>
        </w:numPr>
      </w:pPr>
      <w:r>
        <w:t>Thomson, C., Reiter, E.: A gold standard methodology for evaluating accuracy in data-to-text systems. In: Proceedings of the 13th International Conference on Natural Language Generation, pp. 158–168 (2020)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