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papertitle"/>
      </w:pPr>
      <w:r>
        <w:t>Hệ Thống LLM Có Ràng Buộc Theo Luật Để Diễn Giải Kết Quả Xét Nghiệm Máu Cho Bệnh Nhân Việt Nam</w:t>
      </w:r>
    </w:p>
    <w:p>
      <w:pPr>
        <w:pStyle w:val="author"/>
      </w:pPr>
      <w:r>
        <w:rPr/>
        <w:t>Trương Quang Đại</w:t>
      </w:r>
      <w:r>
        <w:rPr>
          <w:vertAlign w:val="superscript"/>
        </w:rPr>
        <w:t>1</w:t>
      </w:r>
      <w:r>
        <w:rPr/>
        <w:t>, Võ Hoàng Khang</w:t>
      </w:r>
      <w:r>
        <w:rPr>
          <w:vertAlign w:val="superscript"/>
        </w:rPr>
        <w:t>1*</w:t>
      </w:r>
    </w:p>
    <w:p>
      <w:pPr>
        <w:pStyle w:val="address"/>
      </w:pPr>
      <w:r>
        <w:rPr>
          <w:vertAlign w:val="superscript"/>
        </w:rPr>
        <w:t>1</w:t>
      </w:r>
      <w:r>
        <w:rPr/>
        <w:t>Viện Công nghệ Việt Hàn, Trường Đại học Công nghệ TP. Hồ Chí Minh (HUTECH), Việt Nam</w:t>
      </w:r>
    </w:p>
    <w:p>
      <w:pPr>
        <w:pStyle w:val="address"/>
      </w:pPr>
      <w:r>
        <w:rPr/>
        <w:t>{truongquangdaihutech@gmail.com</w:t>
      </w:r>
      <w:r>
        <w:rPr>
          <w:color w:val="auto"/>
        </w:rPr>
        <w:t>; vh.khang@hutech.edu.vn</w:t>
      </w:r>
      <w:r>
        <w:rPr/>
        <w:t>}</w:t>
      </w:r>
    </w:p>
    <w:p>
      <w:pPr>
        <w:pStyle w:val="address"/>
      </w:pPr>
      <w:r>
        <w:rPr/>
        <w:t xml:space="preserve">Tác giả liên hệ: </w:t>
      </w:r>
      <w:r>
        <w:rPr>
          <w:color w:val="auto"/>
        </w:rPr>
        <w:t>Võ Hoàng Khang</w:t>
      </w:r>
      <w:r>
        <w:rPr>
          <w:color w:val="auto"/>
          <w:vertAlign w:val="superscript"/>
        </w:rPr>
        <w:t>1*</w:t>
      </w:r>
      <w:r>
        <w:rPr/>
        <w:t xml:space="preserve"> (</w:t>
      </w:r>
      <w:r>
        <w:rPr>
          <w:color w:val="auto"/>
        </w:rPr>
        <w:t>vh.khang@hutech.edu.vn)</w:t>
      </w:r>
    </w:p>
    <w:p>
      <w:pPr>
        <w:pStyle w:val="abstract"/>
      </w:pPr>
      <w:r>
        <w:rPr>
          <w:b/>
        </w:rPr>
        <w:t xml:space="preserve">Tóm tắt. </w:t>
      </w:r>
      <w:r>
        <w:t>Bệnh nhân ở Việt Nam thường xuyên nhận phiếu xét nghiệm viết bằng thuật ngữ lâm sàng mà họ không hiểu và ngày càng tìm đến các mô hình ngôn ngữ phổ thông để được giải thích. Chúng tôi cho thấy điều này không an toàn: một mô hình không có ràng buộc, khi được yêu cầu giải thích các phiếu công thức máu tổng hợp, đã nói sai lệch về chỉ số ở 91,3% số ca và nói với bệnh nhân có kết quả bất thường rằng mọi thứ đều bình thường ở 32,0% số ca.</w:t>
      </w:r>
    </w:p>
    <w:p>
      <w:pPr>
        <w:pStyle w:val="abstract"/>
      </w:pPr>
      <w:r>
        <w:t>Chúng tôi đề xuất một quy trình 4 tầng, trong đó mọi phán đoán lâm sàng đều do luật xác định trước khi mô hình ngôn ngữ được gọi; mô hình chỉ diễn đạt lại các nhãn đã được gán sẵn, và một bộ kiểm chứng sau sinh sẽ loại bỏ những đầu ra mâu thuẫn với nhãn đó. Trên 150 phiếu tổng hợp, quy trình đầy đủ không tạo ra đầu ra không an toàn nào; trong đó, 64,0% thuộc mô hình sinh và 36,0% thuộc mô hình bản mẫu cố định. Hệ thống chạy được trên CPU, không cần GPU.</w:t>
      </w:r>
    </w:p>
    <w:p>
      <w:pPr>
        <w:pStyle w:val="keywords"/>
      </w:pPr>
      <w:r>
        <w:rPr>
          <w:b/>
        </w:rPr>
        <w:t>Từ khóa:</w:t>
      </w:r>
      <w:r>
        <w:t xml:space="preserve"> năng lực hiểu biết về sức khỏe, mô hình ngôn ngữ lớn, kết quả xét nghiệm, giao tiếp với bệnh nhân, an toàn AI.</w:t>
      </w:r>
    </w:p>
    <w:p>
      <w:pPr>
        <w:pStyle w:val="heading1"/>
      </w:pPr>
      <w:r>
        <w:t>1</w:t>
      </w:r>
      <w:r>
        <w:tab/>
        <w:t>Giới thiệu</w:t>
      </w:r>
    </w:p>
    <w:p>
      <w:pPr>
        <w:pStyle w:val="p1a"/>
      </w:pPr>
      <w:r>
        <w:t>Một bệnh nhân rời phòng xét nghiệm ở Việt Nam cầm trên tay một bảng số kèm các thuật ngữ như PDW, MCHC, Monocyte, với các đơn vị G/L, fL, pg. Khoảng tham chiếu được in bên cạnh mỗi giá trị, nên người bệnh thấy được con số nào nằm ngoài khoảng, nhưng không biết chỉ số đó đo cái gì, mức lệch có đáng ngại không, và cần làm gì tiếp theo. Khoảng cách giữa việc có kết quả và việc hiểu được kết quả chính là điều mà khái niệm năng lực hiểu biết sức khỏe (health literacy) mô tả: khả năng tiếp cận, hiểu, đánh giá và sử dụng thông tin y tế để tự chăm sóc sức khỏe.</w:t>
      </w:r>
    </w:p>
    <w:p>
      <w:pPr/>
      <w:r>
        <w:t xml:space="preserve">Việc bệnh nhân bị bỏ mặc tự xoay xở với khoảng cách này đã được ghi nhận bằng số liệu. Theo nghiên cứu của Giardina và cộng sự </w:t>
      </w:r>
      <w:r>
        <w:fldChar w:fldCharType="begin"/>
      </w:r>
      <w:r>
        <w:instrText xml:space="preserve"> CITATION Gia18 \l 1033 </w:instrText>
      </w:r>
      <w:r>
        <w:fldChar w:fldCharType="separate"/>
      </w:r>
      <w:r>
        <w:t>[1]</w:t>
      </w:r>
      <w:r>
        <w:fldChar w:fldCharType="end"/>
      </w:r>
      <w:r>
        <w:t xml:space="preserve"> trên 93 bệnh nhân nhận kết quả qua cổng thông tin trực tuyến, nhóm tác giả phỏng vấn người bệnh ngay sau khi họ xem kết quả; kết quả là gần hai phần ba không được giải thích gì về kết quả của mình, và 46% phải tự tra cứu trên mạng để hiểu. Ngày nay, việc tra cứu đó thường có nghĩa là chụp ảnh phiếu xét nghiệm rồi hỏi một mô hình ngôn ngữ phổ thông.</w:t>
      </w:r>
    </w:p>
    <w:p>
      <w:pPr/>
      <w:r>
        <w:t>Kiểu thất bại này rất dễ tái diễn. Khi được hỏi bằng tiếng Việt bạch cầu là gì, mô hình 3 tỷ tham số dùng trong nghiên cứu này trả lời rằng bạch cầu là tế bào lympho, trong khi lympho chỉ là một loại bạch cầu chứ không phải là từ đồng nghĩa, rồi tự ý nhắc đến ung thư và suy giảm miễn dịch. Một người cầm kết quả hoàn toàn bình thường sẽ gặp một lỗi định nghĩa và hai căn bệnh đáng sợ chỉ trong một câu trả lời ngắn gọn.</w:t>
      </w:r>
    </w:p>
    <w:p>
      <w:pPr/>
      <w:r>
        <w:t>Kiểu thất bại nghiêm trọng hơn lại đi theo chiều ngược lại. Một mô hình tóm tắt rằng phiếu bình thường, trong khi thực tế không bình thường, không chỉ đưa thông tin sai mà còn triệt tiêu lý do đi khám. Lỗi thuật ngữ thì người đọc nhìn thấy được và có động cơ đi kiểm chứng; còn trấn an sai thì trôi chảy, dễ chịu và tác động bằng cách khiến người ta không hành động. Vì vậy, chúng tôi tách nó thành một loại lỗi riêng và đo lường riêng.</w:t>
      </w:r>
    </w:p>
    <w:p>
      <w:pPr/>
      <w:r>
        <w:t>Quan điểm của chúng tôi là không nên giao nhiệm vụ cho mô hình theo cách người ta vẫn làm. Xác định một giá trị có bất thường hay không là phép so sánh số học với khoảng tham chiếu, và một chương trình làm việc đó chính xác tuyệt đối; còn diễn đạt kết luận ấy bằng ngôn ngữ đời thường mới là việc mô hình ngôn ngữ làm tốt. Tách hai việc ra, rồi kiểm chứng việc thứ hai dựa trên việc thứ nhất, sẽ loại bỏ kiểu thất bại thay vì chỉ dặn dò nó biến mất.</w:t>
      </w:r>
    </w:p>
    <w:p>
      <w:pPr>
        <w:pStyle w:val="heading2"/>
      </w:pPr>
      <w:r>
        <w:rPr/>
        <w:t>Đóng góp của bài báo</w:t>
      </w:r>
    </w:p>
    <w:p>
      <w:pPr>
        <w:pStyle w:val="numitem"/>
      </w:pPr>
      <w:r>
        <w:t>Quy trình 4 tầng, trong đó mọi phán đoán lâm sàng được hoàn tất bằng luật trước khi sinh văn bản, nên mô hình diễn đạt lại các nhãn có sẵn chứ không tự suy ra.</w:t>
      </w:r>
    </w:p>
    <w:p>
      <w:pPr>
        <w:pStyle w:val="numitem"/>
      </w:pPr>
      <w:r>
        <w:t>Bộ kiểm chứng tự động sau sinh, đối chiếu văn bản sinh ra với các nhãn đó và rơi về bản mẫu cố định khi không khớp, đảm bảo không có văn bản nào chưa được kiểm chứng đến tay người đọc.</w:t>
      </w:r>
    </w:p>
    <w:p>
      <w:pPr>
        <w:pStyle w:val="numitem"/>
      </w:pPr>
      <w:r>
        <w:t>Đánh giá trên 150 phiếu công thức máu tổng hợp, đo 5 loại lỗi, trong đó có trấn an sai. Theo hiểu biết của chúng tôi, chỉ số này chưa từng được báo cáo riêng trong các nghiên cứu trước về diễn giải kết quả cho bệnh nhân.</w:t>
      </w:r>
    </w:p>
    <w:p>
      <w:pPr>
        <w:pStyle w:val="numitem"/>
      </w:pPr>
      <w:r>
        <w:t>Ghi nhận vấn đề đơn vị không đồng nhất giữa các phòng xét nghiệm Việt Nam, gây phân loại sai nghiêm trọng ngay trong tầng luật nếu không được chuẩn hóa rõ ràng.</w:t>
      </w:r>
    </w:p>
    <w:p>
      <w:pPr>
        <w:pStyle w:val="p1a"/>
      </w:pPr>
      <w:r>
        <w:t>Hệ thống chạy trên máy tính thông thường, không cần GPU: dữ liệu xét nghiệm không phải rời khỏi cơ sở y tế và bệnh viện tuyến tỉnh không phải mua card đồ họa để sử dụng.</w:t>
      </w:r>
    </w:p>
    <w:p>
      <w:pPr>
        <w:pStyle w:val="heading1"/>
      </w:pPr>
      <w:r>
        <w:t>2</w:t>
      </w:r>
      <w:r>
        <w:tab/>
        <w:t>Các nghiên cứu liên quan</w:t>
      </w:r>
    </w:p>
    <w:p>
      <w:pPr>
        <w:pStyle w:val="heading2"/>
      </w:pPr>
      <w:r>
        <w:t>2.1</w:t>
      </w:r>
      <w:r>
        <w:tab/>
        <w:t>Mô hình ngôn ngữ diễn giải kết quả cho bệnh nhân</w:t>
      </w:r>
    </w:p>
    <w:p>
      <w:pPr>
        <w:pStyle w:val="p1a"/>
      </w:pPr>
      <w:r>
        <w:t>Nghiên cứu gần nhất với bài này đánh giá xem các mô hình phổ thông có trả lời được câu hỏi của bệnh nhân về kết quả xét nghiệm hay không. Theo nghiên cứu của He và cộng sự, các tác giả lấy 53 cặp hỏi-đáp từ một diễn đàn sức khỏe rồi so sánh câu trả lời của mô hình với câu trả lời của người dùng khác, chấm theo 4 tiêu chí là mức liên quan, độ chính xác, tính hữu ích và mức độ gây hại; kết quả là GPT-4 vượt trội so với các mô hình mã nguồn mở nhỏ hơn. Cũng theo hướng này, Bozer và Pekçevik cho chuyên gia chấm phần diễn giải báo cáo chẩn đoán hình ảnh do nhiều mô hình sinh ra, đo độ dễ đọc, độ dễ hiểu, cách dùng ngôn ngữ thể hiện sự không chắc chắn và khả năng gây lo lắng cho người đọc. Ở hướng gần với bệnh nhân hơn, Kianian và cộng sự  thử dùng mô hình ngôn ngữ để diễn giải các bài báo khoa học về nhãn khoa và ghi nhận mô hình có thể giúp người bệnh nắm được nội dung chính.</w:t>
      </w:r>
      <w:r>
        <w:fldChar w:fldCharType="begin"/>
      </w:r>
      <w:r>
        <w:instrText xml:space="preserve"> CITATION He24 \l 1033 </w:instrText>
      </w:r>
      <w:r>
        <w:fldChar w:fldCharType="separate"/>
      </w:r>
      <w:r>
        <w:t>[2]</w:t>
      </w:r>
      <w:r>
        <w:fldChar w:fldCharType="end"/>
      </w:r>
      <w:r>
        <w:fldChar w:fldCharType="begin"/>
      </w:r>
      <w:r>
        <w:instrText xml:space="preserve"> CITATION Boz25 \l 1033 </w:instrText>
      </w:r>
      <w:r>
        <w:fldChar w:fldCharType="separate"/>
      </w:r>
      <w:r>
        <w:t>[3]</w:t>
      </w:r>
      <w:r>
        <w:fldChar w:fldCharType="end"/>
      </w:r>
      <w:r>
        <w:fldChar w:fldCharType="begin"/>
      </w:r>
      <w:r>
        <w:instrText xml:space="preserve"> CITATION Kia24 \l 1033 </w:instrText>
      </w:r>
      <w:r>
        <w:fldChar w:fldCharType="separate"/>
      </w:r>
      <w:r>
        <w:t>[4]</w:t>
      </w:r>
      <w:r>
        <w:fldChar w:fldCharType="end"/>
      </w:r>
      <w:r>
        <w:t>.</w:t>
      </w:r>
    </w:p>
    <w:p>
      <w:pPr/>
      <w:r>
        <w:t xml:space="preserve">Các đánh giá từ chính giới xét nghiệm y học lại thận trọng hơn nhiều. Theo báo cáo của Cadamuro và cộng sự </w:t>
      </w:r>
      <w:r>
        <w:fldChar w:fldCharType="begin"/>
      </w:r>
      <w:r>
        <w:instrText xml:space="preserve"> CITATION Cad23 \l 1033 </w:instrText>
      </w:r>
      <w:r>
        <w:fldChar w:fldCharType="separate"/>
      </w:r>
      <w:r>
        <w:t>[5]</w:t>
      </w:r>
      <w:r>
        <w:fldChar w:fldCharType="end"/>
      </w:r>
      <w:r>
        <w:t xml:space="preserve">, đại diện nhóm công tác về trí tuệ nhân tạo của Liên đoàn Hóa sinh Lâm sàng và Y học Xét nghiệm châu Âu (EFLM), nhóm tác giả rà soát khả năng của các mô hình trên câu hỏi về kết quả xét nghiệm và kết luận rằng chúng có thể đưa ra câu trả lời hời hợt hoặc sai, do đó không thể dùng cho mục đích chẩn đoán. Munoz-Zuluaga và cộng sự </w:t>
      </w:r>
      <w:r>
        <w:fldChar w:fldCharType="begin"/>
      </w:r>
      <w:r>
        <w:instrText xml:space="preserve"> CITATION Mun23 \l 1033 </w:instrText>
      </w:r>
      <w:r>
        <w:fldChar w:fldCharType="separate"/>
      </w:r>
      <w:r>
        <w:t>[6]</w:t>
      </w:r>
      <w:r>
        <w:fldChar w:fldCharType="end"/>
      </w:r>
      <w:r>
        <w:t xml:space="preserve"> đặt cho GPT-4 30 câu hỏi diễn giải do bác sĩ soạn; kết quả là 46,7% câu trả lời đúng, 23,3% đúng một phần, và 30% sai hoặc lạc đề. Những đánh giá này nhắm vào người dùng là bác sĩ; trường hợp người dùng là bệnh nhân còn rủi ro hơn, vì họ ít có cơ sở để nhận ra một câu trả lời sai.</w:t>
      </w:r>
    </w:p>
    <w:p>
      <w:pPr/>
      <w:r>
        <w:t>Khoảng trống nghiên cứu. Các nghiên cứu trên hướng tới độ dễ đọc và độ chính xác tổng thể. Mức độ gây hại, nếu có đo, cũng chỉ là một chiều trong nhiều chiều chứ không được phân tách thành từng kiểu thất bại cụ thể, và chúng tôi chưa thấy công trình nào tách riêng trấn an sai. Ngoài ra, các nghiên cứu này đánh giá mô hình dùng trực tiếp, không có cơ chế trung gian nào ngăn một câu trả lời không an toàn đến tay người đọc. Đóng góp của chúng tôi mang tính kiến trúc chứ không phải đánh giá: câu hỏi không phải là mô hình làm tốt đến đâu, mà là bố trí hệ thống thế nào để thất bại của nó không lan ra.</w:t>
      </w:r>
    </w:p>
    <w:p>
      <w:pPr>
        <w:pStyle w:val="heading2"/>
      </w:pPr>
      <w:r>
        <w:t>2.2</w:t>
      </w:r>
      <w:r>
        <w:tab/>
        <w:t>Năng lực hiểu biết sức khỏe ở Việt Nam</w:t>
      </w:r>
    </w:p>
    <w:p>
      <w:pPr>
        <w:pStyle w:val="p1a"/>
      </w:pPr>
      <w:r>
        <w:t xml:space="preserve">Tiền đề rằng bệnh nhân không tự đọc hiểu được phiếu xét nghiệm có cơ sở vững chắc ở Việt Nam. Theo nghiên cứu cắt ngang của Tran và cộng sự </w:t>
      </w:r>
      <w:r>
        <w:fldChar w:fldCharType="begin"/>
      </w:r>
      <w:r>
        <w:instrText xml:space="preserve"> CITATION Tra25 \l 1033 </w:instrText>
      </w:r>
      <w:r>
        <w:fldChar w:fldCharType="separate"/>
      </w:r>
      <w:r>
        <w:t>[7]</w:t>
      </w:r>
      <w:r>
        <w:fldChar w:fldCharType="end"/>
      </w:r>
      <w:r>
        <w:t xml:space="preserve"> trên 204 người cao tuổi tại Đà Nẵng, nhóm tác giả đo năng lực hiểu biết sức khỏe bằng bộ công cụ chuẩn hóa; kết quả là 60,3% ở mức không đầy đủ, trong đó người ở đô thị đạt điểm cao gấp 2,4 lần người ở nông thôn và trình độ học vấn là yếu tố quyết định mạnh nhất. Nghiên cứu trước đó trên người cao tuổi Việt Nam </w:t>
      </w:r>
      <w:r>
        <w:fldChar w:fldCharType="begin"/>
      </w:r>
      <w:r>
        <w:instrText xml:space="preserve"> CITATION Duo20 \l 1033 </w:instrText>
      </w:r>
      <w:r>
        <w:fldChar w:fldCharType="separate"/>
      </w:r>
      <w:r>
        <w:t>[8]</w:t>
      </w:r>
      <w:r>
        <w:fldChar w:fldCharType="end"/>
      </w:r>
      <w:r>
        <w:t xml:space="preserve"> cho kết quả tương tự, còn Dinh và Bonner </w:t>
      </w:r>
      <w:r>
        <w:fldChar w:fldCharType="begin"/>
      </w:r>
      <w:r>
        <w:instrText xml:space="preserve"> CITATION Din25 \l 1033 </w:instrText>
      </w:r>
      <w:r>
        <w:fldChar w:fldCharType="separate"/>
      </w:r>
      <w:r>
        <w:t>[9]</w:t>
      </w:r>
      <w:r>
        <w:fldChar w:fldCharType="end"/>
      </w:r>
      <w:r>
        <w:t xml:space="preserve"> kiểm định thang đo năng lực hiểu biết sức khỏe trên nhóm người bệnh mạn tính và xác nhận thang đo này dùng được trong bối cảnh Việt Nam.</w:t>
      </w:r>
    </w:p>
    <w:p>
      <w:pPr/>
      <w:r>
        <w:t xml:space="preserve">Theo khảo sát quy mô quốc gia của Nguyen và cộng sự </w:t>
      </w:r>
      <w:r>
        <w:fldChar w:fldCharType="begin"/>
      </w:r>
      <w:r>
        <w:instrText xml:space="preserve"> CITATION Ngu26 \l 1033 </w:instrText>
      </w:r>
      <w:r>
        <w:fldChar w:fldCharType="separate"/>
      </w:r>
      <w:r>
        <w:t>[10]</w:t>
      </w:r>
      <w:r>
        <w:fldChar w:fldCharType="end"/>
      </w:r>
      <w:r>
        <w:t>, nhóm tác giả đo song song hai loại năng lực trên người trưởng thành có kết nối số; kết quả là eHealth literacy cao đi cùng health literacy chung thấp, với hành vi tìm kiếm thông tin sức khỏe trực tuyến rất phổ biến. Nói cách khác, người dân vừa sẵn sàng vừa có khả năng dùng công cụ trực tuyến, nhưng lại kém được trang bị hơn để đánh giá thứ mà công cụ đó nói với họ. Điều đó làm tăng, chứ không giảm, yêu cầu an toàn đặt lên các công cụ ấy.</w:t>
      </w:r>
    </w:p>
    <w:p>
      <w:pPr>
        <w:pStyle w:val="heading2"/>
      </w:pPr>
      <w:r>
        <w:t>2.3</w:t>
      </w:r>
      <w:r>
        <w:tab/>
        <w:t>Ràng buộc và kiểm chứng đầu ra mô hình</w:t>
      </w:r>
    </w:p>
    <w:p>
      <w:pPr>
        <w:pStyle w:val="p1a"/>
      </w:pPr>
      <w:r>
        <w:t xml:space="preserve">Theo nghiên cứu của Geng và cộng sự </w:t>
      </w:r>
      <w:r>
        <w:fldChar w:fldCharType="begin"/>
      </w:r>
      <w:r>
        <w:instrText xml:space="preserve"> CITATION Gen23 \l 1033 </w:instrText>
      </w:r>
      <w:r>
        <w:fldChar w:fldCharType="separate"/>
      </w:r>
      <w:r>
        <w:t>[11]</w:t>
      </w:r>
      <w:r>
        <w:fldChar w:fldCharType="end"/>
      </w:r>
      <w:r>
        <w:t xml:space="preserve">, các tác giả đề xuất giải mã có ràng buộc văn phạm (grammar-constrained decoding): ở mỗi bước sinh, phân bố token bị chặn lại sao cho chỉ những chuỗi tuân theo văn phạm cho trước mới sinh ra được; kết quả là mô hình cho ra đầu ra đúng cấu trúc mà không cần tinh chỉnh lại trọng số. Willard và Louf </w:t>
      </w:r>
      <w:r>
        <w:fldChar w:fldCharType="begin"/>
      </w:r>
      <w:r>
        <w:instrText xml:space="preserve"> CITATION Wil23 \l 1033 </w:instrText>
      </w:r>
      <w:r>
        <w:fldChar w:fldCharType="separate"/>
      </w:r>
      <w:r>
        <w:t>[12]</w:t>
      </w:r>
      <w:r>
        <w:fldChar w:fldCharType="end"/>
      </w:r>
      <w:r>
        <w:t xml:space="preserve"> đưa ý tưởng này thành thư viện sinh có dẫn hướng, biến ràng buộc thành một máy trạng thái hữu hạn nên chi phí thêm gần như không đáng kể; nhờ vậy, sinh văn bản theo schema này đã là giao diện chuẩn để lấy đầu ra cho máy đọc được. Theo hướng gần hơn với nội dung, Choi và cộng sự </w:t>
      </w:r>
      <w:r>
        <w:fldChar w:fldCharType="begin"/>
      </w:r>
      <w:r>
        <w:instrText xml:space="preserve"> CITATION Cho23 \l 1033 </w:instrText>
      </w:r>
      <w:r>
        <w:fldChar w:fldCharType="separate"/>
      </w:r>
      <w:r>
        <w:t>[13]</w:t>
      </w:r>
      <w:r>
        <w:fldChar w:fldCharType="end"/>
      </w:r>
      <w:r>
        <w:t xml:space="preserve"> kết hợp tìm kiếm cây với một bộ phát hiện ảo giác ở mức token, cho phép loại bỏ những nhánh sinh ra nội dung sai ngay trong lúc giải mã.</w:t>
      </w:r>
    </w:p>
    <w:p>
      <w:pPr/>
      <w:r>
        <w:t>Tuy nhiên, hợp lệ về cấu trúc không đồng nghĩa với đúng về ngữ nghĩa: một phản hồi có thể thỏa mãn schema hoàn hảo mà vẫn chứa giá trị sai so với đầu vào. Tầng 4 của chúng tôi hoạt động ở tầng nghĩa thứ hai này. Nó không kiểm tra đầu ra có phân tích cú pháp được không, vì ràng buộc schema đã lo việc đó, mà kiểm tra nội dung có khớp với các nhãn được tính độc lập với mô hình hay không. Việc này gần với kiểm chứng dựa trên nguồn sự thật bên ngoài hơn là giải mã có ràng buộc, và hai cách bổ trợ cho nhau: chúng tôi áp đặt ràng buộc schema lúc sinh và kiểm chứng ngữ nghĩa sau khi sinh.</w:t>
      </w:r>
    </w:p>
    <w:p>
      <w:pPr>
        <w:pStyle w:val="heading2"/>
      </w:pPr>
      <w:r>
        <w:t>2.4</w:t>
      </w:r>
      <w:r>
        <w:tab/>
        <w:t>Chuẩn hóa dữ liệu xét nghiệm</w:t>
      </w:r>
    </w:p>
    <w:p>
      <w:pPr>
        <w:pStyle w:val="p1a"/>
      </w:pPr>
      <w:r>
        <w:t xml:space="preserve">Vấn đề đơn vị không đồng nhất mà chúng tôi gặp phải đã được biết đến ở quy mô lớn hơn. Theo nghiên cứu của Naliyatthaliyazchayil và Stenerson </w:t>
      </w:r>
      <w:r>
        <w:fldChar w:fldCharType="begin"/>
      </w:r>
      <w:r>
        <w:instrText xml:space="preserve"> CITATION Nal26 \l 1033 </w:instrText>
      </w:r>
      <w:r>
        <w:fldChar w:fldCharType="separate"/>
      </w:r>
      <w:r>
        <w:t>[14]</w:t>
      </w:r>
      <w:r>
        <w:fldChar w:fldCharType="end"/>
      </w:r>
      <w:r>
        <w:t xml:space="preserve"> trên dữ liệu ung bướu thực tế, nhóm tác giả rà soát quá trình gắn mã LOINC và ghi nhận từ 6% đến 19% xét nghiệm không được ánh xạ chính xác, với đơn vị thiếu hoặc sai nằm trong số các trở ngại lặp lại. Zayed và cộng sự </w:t>
      </w:r>
      <w:r>
        <w:fldChar w:fldCharType="begin"/>
      </w:r>
      <w:r>
        <w:instrText xml:space="preserve"> CITATION Zay25 \l 1033 </w:instrText>
      </w:r>
      <w:r>
        <w:fldChar w:fldCharType="separate"/>
      </w:r>
      <w:r>
        <w:t>[15]</w:t>
      </w:r>
      <w:r>
        <w:fldChar w:fldCharType="end"/>
      </w:r>
      <w:r>
        <w:t xml:space="preserve"> phân tích hơn 163 triệu kết quả đã gắn mã LOINC và tìm thấy 2.019 cách viết đơn vị khác nhau; sau khi hài hòa hóa bằng bộ hàm R mã nguồn mở của nhóm, số đơn vị được rút xuống còn khoảng 40. Ở phần tự động hóa, Parr và cộng sự </w:t>
      </w:r>
      <w:r>
        <w:fldChar w:fldCharType="begin"/>
      </w:r>
      <w:r>
        <w:instrText xml:space="preserve"> CITATION Par18 \l 1033 </w:instrText>
      </w:r>
      <w:r>
        <w:fldChar w:fldCharType="separate"/>
      </w:r>
      <w:r>
        <w:t>[16]</w:t>
      </w:r>
      <w:r>
        <w:fldChar w:fldCharType="end"/>
      </w:r>
      <w:r>
        <w:t xml:space="preserve"> huấn luyện mô hình ánh xạ tên xét nghiệm sang mã LOINC từ nhãn nhiễu của một hệ thống hồ sơ sức khỏe điện tử quốc gia, còn de la Torre </w:t>
      </w:r>
      <w:r>
        <w:fldChar w:fldCharType="begin"/>
      </w:r>
      <w:r>
        <w:instrText xml:space="preserve"> CITATION Tor26 \l 1033 </w:instrText>
      </w:r>
      <w:r>
        <w:fldChar w:fldCharType="separate"/>
      </w:r>
      <w:r>
        <w:t>[17]</w:t>
      </w:r>
      <w:r>
        <w:fldChar w:fldCharType="end"/>
      </w:r>
      <w:r>
        <w:t xml:space="preserve"> dùng truy hồi kết hợp xếp hạng lại bằng transformer để hài hòa đơn vị ở quy mô lớn.</w:t>
      </w:r>
    </w:p>
    <w:p>
      <w:pPr/>
      <w:r>
        <w:t>Tài liệu này coi sự không đồng nhất về đơn vị là trở ngại cho việc tổng hợp dữ liệu và phân tích thứ cấp. Quan sát của chúng tôi cho thấy đây còn là vấn đề an toàn bệnh nhân theo nghĩa lâm sàng trực tiếp. Trong quy trình của chúng tôi, việc so sánh một giá trị chưa quy đổi với khoảng tham chiếu được ghi bằng đơn vị khác đã tạo ra một phân loại sai nghiêm trọng cho một kết quả bình thường, và sai ngay trong tầng xác định mà toàn bộ phần còn lại của kiến trúc tin cậy. Lập luận ủng hộ chuẩn hóa thường được nêu dưới góc độ tái sử dụng dữ liệu cho nghiên cứu; chúng tôi đóng góp một mẩu bằng chứng rằng nó còn ảnh hưởng đến những gì bệnh nhân được nghe về kết quả của chính họ.</w:t>
      </w:r>
    </w:p>
    <w:p>
      <w:pPr>
        <w:pStyle w:val="heading1"/>
      </w:pPr>
      <w:r>
        <w:t>3</w:t>
      </w:r>
      <w:r>
        <w:tab/>
        <w:t>Thiết kế hệ thống</w:t>
      </w:r>
    </w:p>
    <w:p>
      <w:pPr>
        <w:pStyle w:val="p1a"/>
      </w:pPr>
      <w:r>
        <w:t>Nguyên tắc thiết kế trung tâm là không giao bất kỳ phán đoán lâm sàng nào cho mô hình ngôn ngữ. Việc một chỉ số có bất thường hay không và bất thường đến mức nào do luật pháp xác định trước khi mô hình được gọi. Mô hình nhận các giá trị đã được gán nhãn và chỉ được yêu cầu diễn đạt lại. Một bộ kiểm chứng sau sinh sẽ kiểm tra văn bản sinh ra có nhất quán với các nhãn đó không và thay bằng bản mẫu cố định khi không nhất quán. Hình 1 bên dưới minh họa 4 tầng của quy trình.</w:t>
      </w:r>
    </w:p>
    <w:p>
      <w:pPr>
        <w:pStyle w:val="image"/>
      </w:pPr>
      <w:r>
        <w:drawing>
          <wp:inline distT="0" distB="0" distL="0" distR="0">
            <wp:extent cx="4392930" cy="40038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392930" cy="4004205"/>
                    </a:xfrm>
                    <a:prstGeom prst="rect">
                      <a:avLst/>
                    </a:prstGeom>
                  </pic:spPr>
                </pic:pic>
              </a:graphicData>
            </a:graphic>
          </wp:inline>
        </w:drawing>
      </w:r>
    </w:p>
    <w:p>
      <w:pPr>
        <w:pStyle w:val="figurecaption"/>
      </w:pPr>
      <w:r>
        <w:rPr>
          <w:b/>
        </w:rPr>
        <w:t>Hình 1.</w:t>
      </w:r>
      <w:r>
        <w:t xml:space="preserve"> Quy trình 4 tầng của hệ thống.</w:t>
      </w:r>
    </w:p>
    <w:p>
      <w:pPr>
        <w:pStyle w:val="p1a"/>
      </w:pPr>
      <w:r>
        <w:t>Thứ tự trong Hình 1 phản ánh đúng nguyên tắc thiết kế: phán đoán lâm sàng ở Tầng 2 phải hoàn tất trước khi mô hình ngôn ngữ ở Tầng 3 được gọi, nên mô hình không có cơ hội tự quyết định một chỉ số là bình thường hay bất thường. Ở chiều ngược lại, Tầng 4 đối chiếu văn bản do mô hình sinh ra với chính các nhãn đã gán ở Tầng 2; nếu đầu ra không khớp thì sẽ được sinh lại, và nếu vẫn không đạt thì sẽ sẽ thay bằng bản mẫu cố định.</w:t>
      </w:r>
    </w:p>
    <w:p>
      <w:pPr>
        <w:pStyle w:val="heading2"/>
      </w:pPr>
      <w:r>
        <w:rPr/>
        <w:t>Tầng 1 — Chuẩn hóa tên và đơn vị</w:t>
      </w:r>
    </w:p>
    <w:p>
      <w:pPr>
        <w:pStyle w:val="p1a"/>
      </w:pPr>
      <w:r>
        <w:t>Các phòng xét nghiệm Việt Nam gọi tên cùng một chỉ số theo nhiều cách khác nhau: số lượng bạch cầu có thể xuất hiện là WBC, viết tắt tiếng Việt SLBC, cụm tiếng Việt đầy đủ, hoặc * WBC. Tỷ lệ phần trăm và số lượng tuyệt đối chỉ phân biệt bằng ký hiệu % hoặc #, và ký hiệu này có thể đứng trước hoặc sau tên chỉ số (NEUT% so với % Neu). Tầng 1 ánh xạ chúng về mã chuẩn thông qua một từ điển bí danh. Cách chuẩn hóa ngây thơ, tức là xóa hết dấu câu, sẽ làm NEUT% và NEUT# gộp thành một khóa, nên các ký hiệu này được giữ lại như các token tường minh.</w:t>
      </w:r>
    </w:p>
    <w:p>
      <w:pPr/>
      <w:r>
        <w:t>Sai lệch về đơn vị gây hậu quả nặng hơn nhiều so với sai lệch về tên chỉ số. Cùng chỉ số huyết sắc tố, có phòng xét nghiệm ghi theo g/L, có phòng ghi theo g/dL; hai đơn vị này chênh nhau 10 lần. Ví dụ cụ thể: một người có huyết sắc tố 140 g/L, tức 14 g/dL, là hoàn toàn bình thường. Nếu con số 14 được đem so thẳng với khoảng tham chiếu tính bằng g/L (khoảng 130–175) mà không được quy đổi, hệ thống sẽ kết luận người này bị thiếu máu rất nặng và cần đi khám gấp. Cảnh báo giả đó sinh ra ngay bên trong tầng luật, tầng mà cả kiến trúc dựa vào để đảm bảo tính đúng đắn.</w:t>
      </w:r>
    </w:p>
    <w:p>
      <w:pPr/>
      <w:r>
        <w:t>Vì vậy, Tầng 1 quy đổi mọi giá trị về đơn vị chuẩn và từ chối xử lý một chỉ số khi đơn vị không nhận ra được hoặc khi phiếu thiếu đơn vị, trong khi chỉ số đó có nhiều đơn vị khác nhau về bậc độ lớn. Các chỉ số bị từ chối được báo cáo riêng và không được tính vào nhãn tổng thể của phiếu. Hệ thống không bao giờ đoán.</w:t>
      </w:r>
    </w:p>
    <w:p>
      <w:pPr>
        <w:pStyle w:val="heading2"/>
      </w:pPr>
      <w:r>
        <w:rPr/>
        <w:t>Tầng 2 — Phân loại bằng luật</w:t>
      </w:r>
    </w:p>
    <w:p>
      <w:pPr>
        <w:pStyle w:val="p1a"/>
      </w:pPr>
      <w:r>
        <w:t>Mỗi giá trị đã được chuẩn hóa so với khoảng tham chiếu của nó và được gán một trong 3 nhãn theo Bảng 1.</w:t>
      </w:r>
    </w:p>
    <w:p>
      <w:pPr>
        <w:pStyle w:val="tablecaption"/>
      </w:pPr>
      <w:r>
        <w:rPr>
          <w:b/>
        </w:rPr>
        <w:t>Bảng 1.</w:t>
      </w:r>
      <w:r>
        <w:t xml:space="preserve"> Ba mức nhãn của Tầng 2 và điều kiện gán nhãn.</w:t>
      </w:r>
    </w:p>
    <w:tbl>
      <w:tblPr>
        <w:tblStyle w:val="41"/>
        <w:tblW w:w="6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9"/>
        <w:gridCol w:w="34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Nhãn</w:t>
            </w:r>
          </w:p>
        </w:tc>
        <w:tc>
          <w:tcPr>
            <w:tcW w:w="3459" w:type="dxa"/>
          </w:tcPr>
          <w:p>
            <w:pPr>
              <w:pStyle w:val="Noidungbang"/>
            </w:pPr>
            <w:r>
              <w:rPr>
                <w:b/>
              </w:rPr>
              <w:t>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Bình thường</w:t>
            </w:r>
          </w:p>
        </w:tc>
        <w:tc>
          <w:tcPr>
            <w:tcW w:w="3459" w:type="dxa"/>
          </w:tcPr>
          <w:p>
            <w:pPr>
              <w:pStyle w:val="Noidungbang"/>
            </w:pPr>
            <w:r>
              <w:rPr/>
              <w:t>Nằm trong khoảng tham chiếu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Theo dõi</w:t>
            </w:r>
          </w:p>
        </w:tc>
        <w:tc>
          <w:tcPr>
            <w:tcW w:w="3459" w:type="dxa"/>
          </w:tcPr>
          <w:p>
            <w:pPr>
              <w:pStyle w:val="Noidungbang"/>
            </w:pPr>
            <w:r>
              <w:rPr/>
              <w:t>Ngoài khoảng nhưng trong ngưỡng mức độ cấu hình được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Nên khám sớm</w:t>
            </w:r>
          </w:p>
        </w:tc>
        <w:tc>
          <w:tcPr>
            <w:tcW w:w="3459" w:type="dxa"/>
          </w:tcPr>
          <w:p>
            <w:pPr>
              <w:pStyle w:val="Noidungbang"/>
            </w:pPr>
            <w:r>
              <w:rPr/>
              <w:t>Vượt quá ngưỡng đó</w:t>
            </w:r>
          </w:p>
        </w:tc>
      </w:tr>
    </w:tbl>
    <w:p>
      <w:pPr/>
    </w:p>
    <w:p>
      <w:pPr>
        <w:pStyle w:val="p1a"/>
      </w:pPr>
      <w:r>
        <w:t>Nhãn của cả phiếu là nhãn nghiêm trọng nhất trong các chỉ số.</w:t>
      </w:r>
    </w:p>
    <w:p>
      <w:pPr/>
      <w:r>
        <w:t>Tầng này không có thành phần học máy nào. Do đó, độ chính xác phân loại là một thuộc tính của thiết kế chứ không phải kết quả thực nghiệm, và mô hình ngôn ngữ không có cơ hội nào để thay đổi nó.</w:t>
      </w:r>
    </w:p>
    <w:p>
      <w:pPr/>
      <w:r>
        <w:t>Ngưỡng phân biệt theo dõi với nên khám sớm được định nghĩa riêng cho từng chỉ số theo công thức ngưỡng = severity_factor × (cao − thấp), trong đó cao và thấp là hai đầu của khoảng tham chiếu, còn severity_factor nằm trong khoảng 0,15–0,50 tùy theo từng chỉ số (22 chỉ số được dùng trong nghiên cứu này). Các hệ số này được đặt theo kinh nghiệm cho nghiên cứu này, chứ không được suy ra từ dữ liệu lâm sàng thực tế hay danh mục giá trị nguy kịch của bất kỳ phòng xét nghiệm nào. Phần Hạn chế (mục 7) cần bàn thêm về lựa chọn này.</w:t>
      </w:r>
    </w:p>
    <w:p>
      <w:pPr>
        <w:pStyle w:val="heading2"/>
      </w:pPr>
      <w:r>
        <w:rPr/>
        <w:t>Tầng 3 — Sinh văn bản có ràng buộc</w:t>
      </w:r>
    </w:p>
    <w:p>
      <w:pPr>
        <w:pStyle w:val="p1a"/>
      </w:pPr>
      <w:r>
        <w:t>Prompt đưa cho mô hình cần chứa: với mỗi chỉ số, gồm giá trị, khoảng tham chiếu, chiều lệch và mức độ đã được xác định sẵn; đồng thời mô tả chức năng của chỉ số bằng ngôn ngữ đời thường. Ba lớp ràng buộc được áp dụng:</w:t>
      </w:r>
    </w:p>
    <w:p>
      <w:pPr>
        <w:pStyle w:val="bulletitem"/>
        <w:numPr>
          <w:ilvl w:val="0"/>
          <w:numId w:val="8"/>
        </w:numPr>
      </w:pPr>
      <w:r>
        <w:t>Ràng buộc đầu vào — không để lại cơ hội nào cho việc tự đánh giá: mô hình được cho nhãn, không được yêu cầu suy ra nhãn.</w:t>
      </w:r>
    </w:p>
    <w:p>
      <w:pPr>
        <w:pStyle w:val="bulletitem"/>
        <w:numPr>
          <w:ilvl w:val="0"/>
          <w:numId w:val="8"/>
        </w:numPr>
      </w:pPr>
      <w:r>
        <w:t>Ràng buộc nội dung — cấm gọi tên bệnh, cấm quy nguyên nhân, cấm nhắc đến thuốc, liều lượng hoặc cách điều trị.</w:t>
      </w:r>
    </w:p>
    <w:p>
      <w:pPr>
        <w:pStyle w:val="bulletitem"/>
        <w:numPr>
          <w:ilvl w:val="0"/>
          <w:numId w:val="8"/>
        </w:numPr>
      </w:pPr>
      <w:r>
        <w:t>Ràng buộc đầu ra — bắt buộc theo một schema JSON cố định, nhờ đó mới có thể kiểm tra tự động.</w:t>
      </w:r>
    </w:p>
    <w:p>
      <w:pPr>
        <w:pStyle w:val="p1a"/>
      </w:pPr>
      <w:r>
        <w:t>Chúng tôi dùng Qwen2.5-3B chạy tại chỗ qua Ollama. Lựa chọn mô hình là có chủ đích: dữ liệu xét nghiệm là dữ liệu nhạy cảm và một hệ thống dành cho bệnh viện Việt Nam không nên truyền dữ liệu này ra bên ngoài. Một mô hình đủ nhỏ để chạy trên phần cứng CPU thông thường loại bỏ cả mối lo về quyền riêng tư lẫn yêu cầu đầu tư vào GPU.</w:t>
      </w:r>
    </w:p>
    <w:p>
      <w:pPr>
        <w:pStyle w:val="heading2"/>
      </w:pPr>
      <w:r>
        <w:rPr/>
        <w:t>Tầng 4 — Kiểm chứng sau sinh</w:t>
      </w:r>
    </w:p>
    <w:p>
      <w:pPr>
        <w:pStyle w:val="p1a"/>
      </w:pPr>
      <w:r>
        <w:t>Bộ kiểm chứng đối chiếu từng mục sinh ra với nhãn của Tầng 2:</w:t>
      </w:r>
    </w:p>
    <w:p>
      <w:pPr>
        <w:pStyle w:val="bulletitem"/>
        <w:numPr>
          <w:ilvl w:val="0"/>
          <w:numId w:val="10"/>
        </w:numPr>
      </w:pPr>
      <w:r>
        <w:t>Chiều lệch nêu trong văn bản có khớp với chiều đã gán không</w:t>
      </w:r>
    </w:p>
    <w:p>
      <w:pPr>
        <w:pStyle w:val="bulletitem"/>
        <w:numPr>
          <w:ilvl w:val="0"/>
          <w:numId w:val="10"/>
        </w:numPr>
      </w:pPr>
      <w:r>
        <w:t>Có xuất hiện từ khóa cấm không</w:t>
      </w:r>
    </w:p>
    <w:p>
      <w:pPr>
        <w:pStyle w:val="bulletitem"/>
        <w:numPr>
          <w:ilvl w:val="0"/>
          <w:numId w:val="10"/>
        </w:numPr>
      </w:pPr>
      <w:r>
        <w:t>Mọi chỉ số đầu vào có được nhắc đến không</w:t>
      </w:r>
    </w:p>
    <w:p>
      <w:pPr>
        <w:pStyle w:val="bulletitem"/>
        <w:numPr>
          <w:ilvl w:val="0"/>
          <w:numId w:val="10"/>
        </w:numPr>
      </w:pPr>
      <w:r>
        <w:t>Có chỉ số nào không có trong đầu vào bị đưa thêm vào không</w:t>
      </w:r>
    </w:p>
    <w:p>
      <w:pPr>
        <w:pStyle w:val="p1a"/>
      </w:pPr>
      <w:r>
        <w:t>Ngoài ra, nó kiểm tra câu kết xem có trấn an sai không, tức là khẳng định mọi kết quả đều bình thường ngay cả khi có một phiếu bất thường.</w:t>
      </w:r>
    </w:p>
    <w:p>
      <w:pPr/>
      <w:r>
        <w:t>Đầu ra không qua kiểm chứng sẽ được sinh lại đến một giới hạn số lần; sau đó, hệ thống sẽ phát ra bản mẫu cố định ghi giá trị, khoảng tham chiếu và nhãn đã được gán. Nhờ vậy, quy trình không bao giờ trả về văn bản chưa được kiểm chứng.</w:t>
      </w:r>
    </w:p>
    <w:p>
      <w:pPr/>
      <w:r>
        <w:t>Trước khi khớp mẫu, văn bản được tạo ra được chuẩn hóa bằng cách bỏ dấu tiếng Việt và chuyển sang chữ thường. Các cụm chỉ khoảng tham chiếu, chứ không phải lời khẳng định trạng thái (ví dụ: "cao hơn mức bình thường"), được gỡ bỏ khi chúng đứng sau một từ so sánh, để chữ "bình thường" bên trong không bị hiểu nhầm là một khẳng định trạng thái.</w:t>
      </w:r>
    </w:p>
    <w:p>
      <w:pPr>
        <w:pStyle w:val="heading1"/>
      </w:pPr>
      <w:r>
        <w:t>4</w:t>
      </w:r>
      <w:r>
        <w:tab/>
        <w:t>Phương pháp đánh giá</w:t>
      </w:r>
    </w:p>
    <w:p>
      <w:pPr>
        <w:pStyle w:val="heading2"/>
      </w:pPr>
      <w:r>
        <w:t>4.1</w:t>
      </w:r>
      <w:r>
        <w:tab/>
        <w:t>Dữ liệu</w:t>
      </w:r>
    </w:p>
    <w:p>
      <w:pPr>
        <w:pStyle w:val="p1a"/>
      </w:pPr>
      <w:r>
        <w:t>Chúng tôi đánh giá dựa trên 150 phiếu công thức máu tổng hợp thay vì hồ sơ lâm sàng. Dữ liệu tổng hợp ở đây là bắt buộc chứ không chỉ là tiện lợi:</w:t>
      </w:r>
    </w:p>
    <w:p>
      <w:pPr>
        <w:pStyle w:val="bulletitem"/>
        <w:numPr>
          <w:ilvl w:val="0"/>
          <w:numId w:val="11"/>
        </w:numPr>
      </w:pPr>
      <w:r>
        <w:t>Đo tính nhất quán đòi hỏi nhãn đúng biết trước, nhưng phiếu thật không kèm theo.</w:t>
      </w:r>
    </w:p>
    <w:p>
      <w:pPr>
        <w:pStyle w:val="bulletitem"/>
        <w:numPr>
          <w:ilvl w:val="0"/>
          <w:numId w:val="11"/>
        </w:numPr>
      </w:pPr>
      <w:r>
        <w:t>Nó cho phép thiết kế cân bằng, với các lớp có số lượng ngang nhau, trong khi phiếu thật đa số là bình thường và sẽ tạo ra rất ít ca bất thường để kiểm thử.</w:t>
      </w:r>
    </w:p>
    <w:p>
      <w:pPr>
        <w:pStyle w:val="bulletitem"/>
        <w:numPr>
          <w:ilvl w:val="0"/>
          <w:numId w:val="11"/>
        </w:numPr>
      </w:pPr>
      <w:r>
        <w:t>Nó tránh hoàn toàn việc xử lý dữ liệu bệnh nhân.</w:t>
      </w:r>
    </w:p>
    <w:p>
      <w:pPr>
        <w:pStyle w:val="p1a"/>
      </w:pPr>
      <w:r>
        <w:t>Mỗi phiếu chứa 10–18 chỉ số, được chia đều giữa 3 lớp bình thường, theo dõi và khám sớm, và được tạo ra bằng cách chọn ngẫu nhiên bí danh và đơn vị để Tầng 1 được kiểm thử thực tế. Việc làm tròn được áp dụng đúng như cách phòng xét nghiệm in ra, và phiếu nào sau khi làm tròn không còn khớp với lớp đích thì bị loại bỏ và được tạo lại.</w:t>
      </w:r>
    </w:p>
    <w:p>
      <w:pPr>
        <w:pStyle w:val="heading2"/>
      </w:pPr>
      <w:r>
        <w:t>4.2</w:t>
      </w:r>
      <w:r>
        <w:tab/>
        <w:t>Ba cấu hình so sánh</w:t>
      </w:r>
    </w:p>
    <w:p>
      <w:pPr>
        <w:pStyle w:val="p1a"/>
      </w:pPr>
      <w:r>
        <w:t>Ba cấu hình được so sánh trên cùng bộ dữ liệu, được mô tả ở Bảng 2. Mỗi cấu hình bật thêm một phần của kiến trúc để thấy từng tầng đóng góp gì.</w:t>
      </w:r>
    </w:p>
    <w:p>
      <w:pPr>
        <w:pStyle w:val="tablecaption"/>
      </w:pPr>
      <w:r>
        <w:rPr>
          <w:b/>
        </w:rPr>
        <w:t>Bảng 2.</w:t>
      </w:r>
      <w:r>
        <w:t xml:space="preserve"> Cấu hình thực nghiệm.</w:t>
      </w:r>
    </w:p>
    <w:tbl>
      <w:tblPr>
        <w:tblStyle w:val="41"/>
        <w:tblW w:w="6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9"/>
        <w:gridCol w:w="34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Cấu hình</w:t>
            </w:r>
          </w:p>
        </w:tc>
        <w:tc>
          <w:tcPr>
            <w:tcW w:w="3459" w:type="dxa"/>
          </w:tcPr>
          <w:p>
            <w:pPr>
              <w:pStyle w:val="Noidungbang"/>
            </w:pPr>
            <w:r>
              <w:rPr>
                <w:b/>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baseline</w:t>
            </w:r>
          </w:p>
        </w:tc>
        <w:tc>
          <w:tcPr>
            <w:tcW w:w="3459" w:type="dxa"/>
          </w:tcPr>
          <w:p>
            <w:pPr>
              <w:pStyle w:val="Noidungbang"/>
            </w:pPr>
            <w:r>
              <w:rPr/>
              <w:t>Đưa thẳng giá trị thô và khoảng tham chiếu cho mô hình, yêu cầu giải thích cho bệnh nhân. Không nhãn, không ràng buộc, không kiểm chứng. Đây là sự xấp xỉ thực tế hiện nay khi bệnh nhân dán phiếu vào chatbot.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constrained</w:t>
            </w:r>
          </w:p>
        </w:tc>
        <w:tc>
          <w:tcPr>
            <w:tcW w:w="3459" w:type="dxa"/>
          </w:tcPr>
          <w:p>
            <w:pPr>
              <w:pStyle w:val="Noidungbang"/>
            </w:pPr>
            <w:r>
              <w:rPr/>
              <w:t>Tầng 1–3: mô hình nhận nhãn đã gán sẵn dưới 3 lớp ràng buộc, nhưng đầu ra không được kiểm chứng.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full</w:t>
            </w:r>
          </w:p>
        </w:tc>
        <w:tc>
          <w:tcPr>
            <w:tcW w:w="3459" w:type="dxa"/>
          </w:tcPr>
          <w:p>
            <w:pPr>
              <w:pStyle w:val="Noidungbang"/>
            </w:pPr>
            <w:r>
              <w:rPr/>
              <w:t>Tầng 1–4, gồm kiểm chứng, sinh lại và bản mẫu dự phòng.</w:t>
            </w:r>
          </w:p>
        </w:tc>
      </w:tr>
    </w:tbl>
    <w:p>
      <w:pPr/>
    </w:p>
    <w:p>
      <w:pPr>
        <w:pStyle w:val="heading2"/>
      </w:pPr>
      <w:r>
        <w:t>4.3</w:t>
      </w:r>
      <w:r>
        <w:tab/>
        <w:t>Các chỉ số đo</w:t>
      </w:r>
    </w:p>
    <w:p>
      <w:pPr>
        <w:pStyle w:val="p1a"/>
      </w:pPr>
      <w:r>
        <w:t>Mọi chỉ số được tính theo từng phiếu bởi bộ kiểm chứng Tầng 4.</w:t>
      </w:r>
    </w:p>
    <w:p>
      <w:pPr>
        <w:pStyle w:val="bulletitem"/>
        <w:numPr>
          <w:ilvl w:val="0"/>
          <w:numId w:val="12"/>
        </w:numPr>
      </w:pPr>
      <w:r>
        <w:t>Đầu ra an toàn — tỷ lệ phiếu có đầu ra cuối cùng qua được kiểm chứng, tính cả phiếu dùng bản mẫu dự phòng.</w:t>
      </w:r>
    </w:p>
    <w:p>
      <w:pPr>
        <w:pStyle w:val="bulletitem"/>
        <w:numPr>
          <w:ilvl w:val="0"/>
          <w:numId w:val="12"/>
        </w:numPr>
      </w:pPr>
      <w:r>
        <w:t>Mô hình tự đạt — chỉ tính phiếu mà chính mô hình sinh ra nội dung đạt yêu cầu.</w:t>
      </w:r>
    </w:p>
    <w:p>
      <w:pPr>
        <w:pStyle w:val="bulletitem"/>
        <w:numPr>
          <w:ilvl w:val="0"/>
          <w:numId w:val="12"/>
        </w:numPr>
      </w:pPr>
      <w:r>
        <w:t>Các chỉ số còn lại đếm số phiếu có ít nhất một trường hợp: trấn an sai, sai lệch, dùng thuật ngữ bị cấm, bịa chỉ số, bỏ sót chỉ số.</w:t>
      </w:r>
    </w:p>
    <w:p>
      <w:pPr>
        <w:pStyle w:val="p1a"/>
      </w:pPr>
      <w:r>
        <w:t>Sai chiều lệch và câu chữ mâu thuẫn là 2 phép kiểm tra khác nhau. Cái thứ nhất đối chiếu trường trạng thái có cấu trúc với nhãn của Tầng 2; cái thứ hai quét phần văn xuôi xem có câu nào khẳng định một trạng thái khác không. Mô hình hoàn toàn có thể điền đúng trường trạng thái nhưng lại mô tả sai trong lời văn, và chỉ phép kiểm thử thứ hai bắt được. Cả 6 loại lỗi đều tham gia vào việc quyết định một đầu ra có qua kiểm chứng hay không.</w:t>
      </w:r>
    </w:p>
    <w:p>
      <w:pPr>
        <w:pStyle w:val="heading1"/>
      </w:pPr>
      <w:r>
        <w:t>5</w:t>
      </w:r>
      <w:r>
        <w:tab/>
        <w:t>Kết quả</w:t>
      </w:r>
    </w:p>
    <w:p>
      <w:pPr>
        <w:pStyle w:val="tablecaption"/>
      </w:pPr>
      <w:r>
        <w:rPr>
          <w:b/>
        </w:rPr>
        <w:t>Bảng 3.</w:t>
      </w:r>
      <w:r>
        <w:t xml:space="preserve"> So sánh 3 cấu hình trên 150 phiếu tổng hợp (%)</w:t>
      </w:r>
    </w:p>
    <w:tbl>
      <w:tblPr>
        <w:tblStyle w:val="41"/>
        <w:tblW w:w="6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4"/>
        <w:gridCol w:w="744"/>
        <w:gridCol w:w="726"/>
        <w:gridCol w:w="740"/>
        <w:gridCol w:w="747"/>
        <w:gridCol w:w="761"/>
        <w:gridCol w:w="715"/>
        <w:gridCol w:w="713"/>
        <w:gridCol w:w="7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pPr>
              <w:pStyle w:val="Noidungbang"/>
            </w:pPr>
            <w:r>
              <w:rPr>
                <w:b/>
              </w:rPr>
              <w:t>Cấu hình</w:t>
            </w:r>
          </w:p>
        </w:tc>
        <w:tc>
          <w:tcPr>
            <w:tcW w:w="844" w:type="dxa"/>
          </w:tcPr>
          <w:p>
            <w:pPr>
              <w:pStyle w:val="Noidungbang"/>
            </w:pPr>
            <w:r>
              <w:rPr>
                <w:b/>
              </w:rPr>
              <w:t>Đầu ra an toàn</w:t>
            </w:r>
          </w:p>
        </w:tc>
        <w:tc>
          <w:tcPr>
            <w:tcW w:w="844" w:type="dxa"/>
          </w:tcPr>
          <w:p>
            <w:pPr>
              <w:pStyle w:val="Noidungbang"/>
            </w:pPr>
            <w:r>
              <w:rPr>
                <w:b/>
              </w:rPr>
              <w:t>Mô hình tự đạt</w:t>
            </w:r>
          </w:p>
        </w:tc>
        <w:tc>
          <w:tcPr>
            <w:tcW w:w="844" w:type="dxa"/>
          </w:tcPr>
          <w:p>
            <w:pPr>
              <w:pStyle w:val="Noidungbang"/>
            </w:pPr>
            <w:r>
              <w:rPr>
                <w:b/>
              </w:rPr>
              <w:t>Trấn an sai</w:t>
            </w:r>
          </w:p>
        </w:tc>
        <w:tc>
          <w:tcPr>
            <w:tcW w:w="844" w:type="dxa"/>
          </w:tcPr>
          <w:p>
            <w:pPr>
              <w:pStyle w:val="Noidungbang"/>
            </w:pPr>
            <w:r>
              <w:rPr>
                <w:b/>
              </w:rPr>
              <w:t>Sai chiều lệch</w:t>
            </w:r>
          </w:p>
        </w:tc>
        <w:tc>
          <w:tcPr>
            <w:tcW w:w="844" w:type="dxa"/>
          </w:tcPr>
          <w:p>
            <w:pPr>
              <w:pStyle w:val="Noidungbang"/>
            </w:pPr>
            <w:r>
              <w:rPr>
                <w:b/>
              </w:rPr>
              <w:t>Mâu thuẫn</w:t>
            </w:r>
          </w:p>
        </w:tc>
        <w:tc>
          <w:tcPr>
            <w:tcW w:w="844" w:type="dxa"/>
          </w:tcPr>
          <w:p>
            <w:pPr>
              <w:pStyle w:val="Noidungbang"/>
            </w:pPr>
            <w:r>
              <w:rPr>
                <w:b/>
              </w:rPr>
              <w:t>Từ cấm</w:t>
            </w:r>
          </w:p>
        </w:tc>
        <w:tc>
          <w:tcPr>
            <w:tcW w:w="844" w:type="dxa"/>
          </w:tcPr>
          <w:p>
            <w:pPr>
              <w:pStyle w:val="Noidungbang"/>
            </w:pPr>
            <w:r>
              <w:rPr>
                <w:b/>
              </w:rPr>
              <w:t>Bịa chỉ số</w:t>
            </w:r>
          </w:p>
        </w:tc>
        <w:tc>
          <w:tcPr>
            <w:tcW w:w="844" w:type="dxa"/>
          </w:tcPr>
          <w:p>
            <w:pPr>
              <w:pStyle w:val="Noidungbang"/>
            </w:pPr>
            <w:r>
              <w:rPr>
                <w:b/>
              </w:rPr>
              <w:t>Bỏ sót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pPr>
              <w:pStyle w:val="Noidungbang"/>
            </w:pPr>
            <w:r>
              <w:rPr>
                <w:b/>
              </w:rPr>
              <w:t>baseline</w:t>
            </w:r>
          </w:p>
        </w:tc>
        <w:tc>
          <w:tcPr>
            <w:tcW w:w="844" w:type="dxa"/>
          </w:tcPr>
          <w:p>
            <w:pPr>
              <w:pStyle w:val="Noidungbang"/>
            </w:pPr>
            <w:r>
              <w:rPr/>
              <w:t>0,0</w:t>
            </w:r>
          </w:p>
        </w:tc>
        <w:tc>
          <w:tcPr>
            <w:tcW w:w="844" w:type="dxa"/>
          </w:tcPr>
          <w:p>
            <w:pPr>
              <w:pStyle w:val="Noidungbang"/>
            </w:pPr>
            <w:r>
              <w:rPr/>
              <w:t>0,0</w:t>
            </w:r>
          </w:p>
        </w:tc>
        <w:tc>
          <w:tcPr>
            <w:tcW w:w="844" w:type="dxa"/>
          </w:tcPr>
          <w:p>
            <w:pPr>
              <w:pStyle w:val="Noidungbang"/>
            </w:pPr>
            <w:r>
              <w:rPr/>
              <w:t>32,0</w:t>
            </w:r>
          </w:p>
        </w:tc>
        <w:tc>
          <w:tcPr>
            <w:tcW w:w="844" w:type="dxa"/>
          </w:tcPr>
          <w:p>
            <w:pPr>
              <w:pStyle w:val="Noidungbang"/>
            </w:pPr>
            <w:r>
              <w:rPr/>
              <w:t>91,3</w:t>
            </w:r>
          </w:p>
        </w:tc>
        <w:tc>
          <w:tcPr>
            <w:tcW w:w="844" w:type="dxa"/>
          </w:tcPr>
          <w:p>
            <w:pPr>
              <w:pStyle w:val="Noidungbang"/>
            </w:pPr>
            <w:r>
              <w:rPr/>
              <w:t>56,0</w:t>
            </w:r>
          </w:p>
        </w:tc>
        <w:tc>
          <w:tcPr>
            <w:tcW w:w="844" w:type="dxa"/>
          </w:tcPr>
          <w:p>
            <w:pPr>
              <w:pStyle w:val="Noidungbang"/>
            </w:pPr>
            <w:r>
              <w:rPr/>
              <w:t>79,3</w:t>
            </w:r>
          </w:p>
        </w:tc>
        <w:tc>
          <w:tcPr>
            <w:tcW w:w="844" w:type="dxa"/>
          </w:tcPr>
          <w:p>
            <w:pPr>
              <w:pStyle w:val="Noidungbang"/>
            </w:pPr>
            <w:r>
              <w:rPr/>
              <w:t>32,0</w:t>
            </w:r>
          </w:p>
        </w:tc>
        <w:tc>
          <w:tcPr>
            <w:tcW w:w="844" w:type="dxa"/>
          </w:tcPr>
          <w:p>
            <w:pPr>
              <w:pStyle w:val="Noidungbang"/>
            </w:pPr>
            <w:r>
              <w:rPr/>
              <w:t>71,3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pPr>
              <w:pStyle w:val="Noidungbang"/>
            </w:pPr>
            <w:r>
              <w:rPr>
                <w:b/>
              </w:rPr>
              <w:t>constrained</w:t>
            </w:r>
          </w:p>
        </w:tc>
        <w:tc>
          <w:tcPr>
            <w:tcW w:w="844" w:type="dxa"/>
          </w:tcPr>
          <w:p>
            <w:pPr>
              <w:pStyle w:val="Noidungbang"/>
            </w:pPr>
            <w:r>
              <w:rPr/>
              <w:t>48,0</w:t>
            </w:r>
          </w:p>
        </w:tc>
        <w:tc>
          <w:tcPr>
            <w:tcW w:w="844" w:type="dxa"/>
          </w:tcPr>
          <w:p>
            <w:pPr>
              <w:pStyle w:val="Noidungbang"/>
            </w:pPr>
            <w:r>
              <w:rPr/>
              <w:t>48,0</w:t>
            </w:r>
          </w:p>
        </w:tc>
        <w:tc>
          <w:tcPr>
            <w:tcW w:w="844" w:type="dxa"/>
          </w:tcPr>
          <w:p>
            <w:pPr>
              <w:pStyle w:val="Noidungbang"/>
            </w:pPr>
            <w:r>
              <w:rPr/>
              <w:t>8,0</w:t>
            </w:r>
          </w:p>
        </w:tc>
        <w:tc>
          <w:tcPr>
            <w:tcW w:w="844" w:type="dxa"/>
          </w:tcPr>
          <w:p>
            <w:pPr>
              <w:pStyle w:val="Noidungbang"/>
            </w:pPr>
            <w:r>
              <w:rPr/>
              <w:t>12,7</w:t>
            </w:r>
          </w:p>
        </w:tc>
        <w:tc>
          <w:tcPr>
            <w:tcW w:w="844" w:type="dxa"/>
          </w:tcPr>
          <w:p>
            <w:pPr>
              <w:pStyle w:val="Noidungbang"/>
            </w:pPr>
            <w:r>
              <w:rPr/>
              <w:t>5,3</w:t>
            </w:r>
          </w:p>
        </w:tc>
        <w:tc>
          <w:tcPr>
            <w:tcW w:w="844" w:type="dxa"/>
          </w:tcPr>
          <w:p>
            <w:pPr>
              <w:pStyle w:val="Noidungbang"/>
            </w:pPr>
            <w:r>
              <w:rPr/>
              <w:t>15,3</w:t>
            </w:r>
          </w:p>
        </w:tc>
        <w:tc>
          <w:tcPr>
            <w:tcW w:w="844" w:type="dxa"/>
          </w:tcPr>
          <w:p>
            <w:pPr>
              <w:pStyle w:val="Noidungbang"/>
            </w:pPr>
            <w:r>
              <w:rPr/>
              <w:t>10,0</w:t>
            </w:r>
          </w:p>
        </w:tc>
        <w:tc>
          <w:tcPr>
            <w:tcW w:w="844" w:type="dxa"/>
          </w:tcPr>
          <w:p>
            <w:pPr>
              <w:pStyle w:val="Noidungbang"/>
            </w:pPr>
            <w:r>
              <w:rPr/>
              <w:t>28,7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4" w:type="dxa"/>
          </w:tcPr>
          <w:p>
            <w:pPr>
              <w:pStyle w:val="Noidungbang"/>
            </w:pPr>
            <w:r>
              <w:rPr>
                <w:b/>
              </w:rPr>
              <w:t>full</w:t>
            </w:r>
          </w:p>
        </w:tc>
        <w:tc>
          <w:tcPr>
            <w:tcW w:w="844" w:type="dxa"/>
          </w:tcPr>
          <w:p>
            <w:pPr>
              <w:pStyle w:val="Noidungbang"/>
            </w:pPr>
            <w:r>
              <w:rPr>
                <w:b/>
              </w:rPr>
              <w:t>100,0</w:t>
            </w:r>
          </w:p>
        </w:tc>
        <w:tc>
          <w:tcPr>
            <w:tcW w:w="844" w:type="dxa"/>
          </w:tcPr>
          <w:p>
            <w:pPr>
              <w:pStyle w:val="Noidungbang"/>
            </w:pPr>
            <w:r>
              <w:rPr/>
              <w:t>64,0</w:t>
            </w:r>
          </w:p>
        </w:tc>
        <w:tc>
          <w:tcPr>
            <w:tcW w:w="844" w:type="dxa"/>
          </w:tcPr>
          <w:p>
            <w:pPr>
              <w:pStyle w:val="Noidungbang"/>
            </w:pPr>
            <w:r>
              <w:rPr>
                <w:b/>
              </w:rPr>
              <w:t>0,0</w:t>
            </w:r>
          </w:p>
        </w:tc>
        <w:tc>
          <w:tcPr>
            <w:tcW w:w="844" w:type="dxa"/>
          </w:tcPr>
          <w:p>
            <w:pPr>
              <w:pStyle w:val="Noidungbang"/>
            </w:pPr>
            <w:r>
              <w:rPr>
                <w:b/>
              </w:rPr>
              <w:t>0,0</w:t>
            </w:r>
          </w:p>
        </w:tc>
        <w:tc>
          <w:tcPr>
            <w:tcW w:w="844" w:type="dxa"/>
          </w:tcPr>
          <w:p>
            <w:pPr>
              <w:pStyle w:val="Noidungbang"/>
            </w:pPr>
            <w:r>
              <w:rPr>
                <w:b/>
              </w:rPr>
              <w:t>0,0</w:t>
            </w:r>
          </w:p>
        </w:tc>
        <w:tc>
          <w:tcPr>
            <w:tcW w:w="844" w:type="dxa"/>
          </w:tcPr>
          <w:p>
            <w:pPr>
              <w:pStyle w:val="Noidungbang"/>
            </w:pPr>
            <w:r>
              <w:rPr>
                <w:b/>
              </w:rPr>
              <w:t>0,0</w:t>
            </w:r>
          </w:p>
        </w:tc>
        <w:tc>
          <w:tcPr>
            <w:tcW w:w="844" w:type="dxa"/>
          </w:tcPr>
          <w:p>
            <w:pPr>
              <w:pStyle w:val="Noidungbang"/>
            </w:pPr>
            <w:r>
              <w:rPr>
                <w:b/>
              </w:rPr>
              <w:t>0,0</w:t>
            </w:r>
          </w:p>
        </w:tc>
        <w:tc>
          <w:tcPr>
            <w:tcW w:w="844" w:type="dxa"/>
          </w:tcPr>
          <w:p>
            <w:pPr>
              <w:pStyle w:val="Noidungbang"/>
            </w:pPr>
            <w:r>
              <w:rPr>
                <w:b/>
              </w:rPr>
              <w:t>0,0</w:t>
            </w:r>
          </w:p>
        </w:tc>
      </w:tr>
    </w:tbl>
    <w:p>
      <w:pPr/>
    </w:p>
    <w:p>
      <w:pPr>
        <w:pStyle w:val="p1a"/>
      </w:pPr>
      <w:r>
        <w:t>Bảng 3 cho thấy một quy luật nhất quán: mọi chỉ số lỗi đều giảm đơn điệu khi đi từ baseline sang constrained rồi sang full, không có chỉ số nào tăng trở lại ở bước sau. Điều này có nghĩa là hai cơ chế được thêm vào không xung đột với nhau: ràng buộc prompt cắt phần lớn lỗi, còn kiểm chứng bằng máy dọn nốt phần còn lại.</w:t>
      </w:r>
    </w:p>
    <w:p>
      <w:pPr/>
      <w:r>
        <w:t>Mức độ đóng góp của hai cơ chế rất khác nhau. Ràng buộc prompt tạo ra bước nhảy lớn nhất về mặt số lượng: sai lệch giảm từ 91,3% xuống 12,7%, từ cấm giảm từ 79,3% xuống 15,3%, câu chữ mâu thuẫn giảm từ 56,0% xuống 5,3%. Nhưng nó không đưa được chỉ số nào về 0 và tỷ lệ đầu ra an toàn chỉ đạt 48,0%, tức là hơn một nửa số phiếu vẫn không dùng được. Kiểm chứng bằng máy mới là bước đưa toàn bộ 6 loại lỗi về 0 và đưa tỷ lệ an toàn lên 100%.</w:t>
      </w:r>
    </w:p>
    <w:p>
      <w:pPr/>
      <w:r>
        <w:t>Cần đọc con số 100% này cho đúng: nó là tỷ lệ đầu ra cuối cùng đạt yêu cầu, trong đó 64,0% do mô hình tự viết được và 36,0% còn lại là bản mẫu cố định thay thế sau khi sinh lại vẫn không đạt. Nói cách khác, đây là tính chất của quy trình, không phải bằng chứng rằng mô hình 3B viết đúng trong mọi trường hợp.</w:t>
      </w:r>
    </w:p>
    <w:p>
      <w:pPr>
        <w:pStyle w:val="heading2"/>
      </w:pPr>
      <w:r>
        <w:rPr/>
        <w:t>Sinh văn bản không ràng buộc là không an toàn</w:t>
      </w:r>
    </w:p>
    <w:p>
      <w:pPr>
        <w:pStyle w:val="p1a"/>
      </w:pPr>
      <w:r>
        <w:t>Cấu hình baseline không tạo ra đầu ra đáp ứng yêu cầu của bất kỳ phiếu nào trong số 150 phiếu. Nó nói sai về độ lệch của ít nhất một chỉ số trong 91,3% số phiếu và dùng thuật ngữ lâm sàng bị cấm trong 79,3% số phiếu. Trên các phiếu có kết quả bất thường, điều này khẳng định rằng mọi kết quả đều bình thường ở 32,0% số ca. Nghĩa là cứ khoảng 3 bệnh nhân thì 1 người bị nói sai rằng không có gì cần quan tâm.</w:t>
      </w:r>
    </w:p>
    <w:p>
      <w:pPr>
        <w:pStyle w:val="heading2"/>
      </w:pPr>
      <w:r>
        <w:rPr/>
        <w:t>Ràng buộc bằng prompt có tác dụng nhưng chưa đủ</w:t>
      </w:r>
    </w:p>
    <w:p>
      <w:pPr>
        <w:pStyle w:val="p1a"/>
      </w:pPr>
      <w:r>
        <w:t>Cung cấp nhãn có sẵn giúp giảm sai lệch từ 91,3% xuống 12,7% và giảm sai từ 32,0% xuống 8,0%. Tuy vậy, 52,0% đầu ra của constrained vẫn chưa được kiểm chứng. Dặn dò không đảm bảo tuân thủ, đó là lý do cần một bước kiểm chứng bằng máy.</w:t>
      </w:r>
    </w:p>
    <w:p>
      <w:pPr>
        <w:pStyle w:val="heading2"/>
      </w:pPr>
      <w:r>
        <w:rPr/>
        <w:t>Kiểm chứng loại bỏ hoàn toàn đầu ra không an toàn</w:t>
      </w:r>
    </w:p>
    <w:p>
      <w:pPr>
        <w:pStyle w:val="p1a"/>
      </w:pPr>
      <w:r>
        <w:t>Cấu hình full qua kiểm chứng trên cả 150 phiếu. Con số này cần được nói rõ: 64,0% số phiếu do mô hình sinh ra, còn 36,0% rơi vào bản mẫu cố định sau khi sinh lại thất bại. Đảm bảo an toàn là thuộc tính của quy trình, không phải bằng chứng cho thấy mô hình 3B có thể làm được điều này một cách đáng tin cậy.</w:t>
      </w:r>
    </w:p>
    <w:p>
      <w:pPr/>
      <w:r>
        <w:t>Tỷ lệ mô hình tự đạt ở full là 64,0%, cao hơn 48,0% của constrained, cho thấy cơ chế sinh lại có thể cứu được một phần đáng kể các đầu ra thất bại ở lần đầu.</w:t>
      </w:r>
    </w:p>
    <w:p>
      <w:pPr>
        <w:pStyle w:val="heading2"/>
      </w:pPr>
      <w:r>
        <w:rPr/>
        <w:t>Định dạng và chi phí</w:t>
      </w:r>
    </w:p>
    <w:p>
      <w:pPr>
        <w:pStyle w:val="p1a"/>
      </w:pPr>
      <w:r>
        <w:t>Ở baseline, 97,3% đầu ra gọi tên chỉ số bằng tên hiển thị thay vì mã chuẩn, và 2,0% không phân tích cú pháp được; cả hai đều về 0 khi áp dụng ràng buộc schema. Chúng tôi đếm riêng những lỗi này khỏi lỗi nội dung, vì phạt một cấu hình về định dạng mà nó chưa từng được yêu cầu tuân theo sẽ thổi phồng số lỗi nội dung của nó.</w:t>
      </w:r>
    </w:p>
    <w:p>
      <w:pPr/>
      <w:r>
        <w:t>Thời gian xử lý trung bình là 38,9 giây ở baseline, 35,8 giây ở constrained, và 68,3 giây ở full, với trung bình 1,97 lần sinh ở cấu hình cuối. An toàn phải trả giá khoảng gấp đôi về độ trễ. Mọi phép đo được thực hiện trên Intel Core i5-9400F, 24 GB RAM, không dùng GPU.</w:t>
      </w:r>
    </w:p>
    <w:p>
      <w:pPr>
        <w:pStyle w:val="heading1"/>
      </w:pPr>
      <w:r>
        <w:t>6</w:t>
      </w:r>
      <w:r>
        <w:tab/>
        <w:t>Thảo luận</w:t>
      </w:r>
    </w:p>
    <w:p>
      <w:pPr>
        <w:pStyle w:val="heading2"/>
      </w:pPr>
      <w:r>
        <w:t>6.1</w:t>
      </w:r>
      <w:r>
        <w:tab/>
        <w:t>Giao cho mỗi thành phần việc mà nó làm tốt</w:t>
      </w:r>
    </w:p>
    <w:p>
      <w:pPr>
        <w:pStyle w:val="p1a"/>
      </w:pPr>
      <w:r>
        <w:t>Kết quả ủng hộ một sự phân công lao động, chứ không phải một cải tiến trong cách viết prompt. Cấu hình baseline yêu cầu mô hình làm hai việc cùng lúc: phán đoán từng giá trị và giải thích chúng. Nó thất bại ở việc thứ nhất, với hơn 91,3% số phiếu, trong khi vẫn viết văn trôi chảy suốt. Khi chuyển phán đoán sang tầng luật, phân loại trở nên chính xác hơn theo cấu trúc và mô hình, chỉ còn việc diễn đạt lại, điều mà nó làm được ở mức chấp nhận được.</w:t>
      </w:r>
    </w:p>
    <w:p>
      <w:pPr/>
      <w:r>
        <w:t>Một hệ quả hữu ích là hai thành phần được cải thiện độc lập với nhau. Thay các ngưỡng mức độ kinh nghiệm bằng danh mục giá trị nguy hiểm (critical value) của một phòng xét nghiệm sẽ thay đổi các nhãn mà mô hình nhận, nhưng không đổi gì khác trong kiến trúc, và Bảng 1 vẫn giữ nguyên giá trị, vì nó đo sự khớp nhau giữa văn bản sinh ra và nhãn được gán, chứ không đo mức tối ưu lâm sàng của các nhãn ấy. Tương tự, một mô hình lớn hơn sẽ nâng tỷ lệ mô hình tự đạt mà không thay đổi, đảm bảo an toàn, vì việc đảm bảo đó do Tầng 4 cung cấp.</w:t>
      </w:r>
    </w:p>
    <w:p>
      <w:pPr>
        <w:pStyle w:val="heading2"/>
      </w:pPr>
      <w:r>
        <w:t>6.2</w:t>
      </w:r>
      <w:r>
        <w:tab/>
        <w:t>Trấn an sai xứng đáng là một chỉ số riêng</w:t>
      </w:r>
    </w:p>
    <w:p>
      <w:pPr>
        <w:pStyle w:val="p1a"/>
      </w:pPr>
      <w:r>
        <w:t>Các đánh giá về diễn giải cho bệnh nhân thường báo cáo độ dễ đọc và độ chính xác. Không chỉ ra được chỉ số nào trong hai chỉ số đó bắt được lỗi mà chúng tôi cho là tai hại nhất. Một câu nói rằng mọi kết quả đều bình thường, đặt trên một phiếu không bình thường, chỉ là một câu trong nhiều câu, và thậm chí có thể được chấm điểm dễ đọc cao chính vì nó đơn giản và trấn an. Tác hại của nó nằm ở việc khiến người đọc không làm gì cả.</w:t>
      </w:r>
    </w:p>
    <w:p>
      <w:pPr/>
      <w:r>
        <w:t>Dữ liệu của chúng tôi cho thấy lỗi này không hiếm và không bị loại bỏ bằng việc dặn dò: 32,0% ở baseline, và sau khi có ràng buộc prompt cấm rõ ràng, vẫn còn 8,0% ở constrained; chỉ về 0 khi có kiểm chứng bằng máy. Mọi hệ thống sinh diễn giải kết quả xét nghiệm cho bệnh nhân nên báo cáo chỉ số này, và một lệnh cấm ở mức prompt không nên được chấp nhận như bằng chứng rằng lỗi đã được khắc phục.</w:t>
      </w:r>
    </w:p>
    <w:p>
      <w:pPr>
        <w:pStyle w:val="heading2"/>
      </w:pPr>
      <w:r>
        <w:t>6.3</w:t>
      </w:r>
      <w:r>
        <w:tab/>
        <w:t>Đơn vị không đồng nhất là vấn đề an toàn, không phải vấn đề định dạng</w:t>
      </w:r>
    </w:p>
    <w:p>
      <w:pPr>
        <w:pStyle w:val="p1a"/>
      </w:pPr>
      <w:r>
        <w:t>Thất bại đáng học hỏi nhất trong quá trình phát triển lại xảy ra ngay ở tầng mà kiến trúc coi là đáng tin cậy. Tầng 2 là việc xác định và phân loại của nó chính xác tuyệt đối, nhưng chỉ đối với những con số mà nó nhận được. Khi nhận huyết sắc tố đo bằng g/dL rồi so với khoảng tham chiếu g/L, nó xếp một giá trị bình thường thành cần khám khẩn, và làm vậy với sự nhất quán nội tại hoàn hảo. Không có mức kiểm chứng nào ở phía sau phát hiện được điều này, vì mọi tầng tiếp theo sẽ trung thành tái tạo một nhãn sai một cách tự tin.</w:t>
      </w:r>
    </w:p>
    <w:p>
      <w:pPr/>
      <w:r>
        <w:t>Điều này chuyển từ việc chuẩn hóa dữ liệu từ chỗ là tiện lợi về khả năng liên thông thành điều kiện tiên quyết về an toàn. Mọi tuyên bố về tính đúng đắn của một tầng lâm sàng dựa trên luật đều có điều kiện là dữ liệu đã ở đơn vị chuẩn và bước quy đổi phải được biết rõ, thay vì đoán. Các hệ mã như LOINC và các chuẩn trao đổi như HL7 FHIR giải quyết đúng vấn đề này. Quan sát ở đây là một mẩu bằng chứng thực nghiệm ủng hộ việc áp dụng chúng trong báo cáo xét nghiệm tại Việt Nam.</w:t>
      </w:r>
    </w:p>
    <w:p>
      <w:pPr>
        <w:pStyle w:val="heading2"/>
      </w:pPr>
      <w:r>
        <w:t>6.4</w:t>
      </w:r>
      <w:r>
        <w:tab/>
        <w:t>Cân nhắc khi triển khai</w:t>
      </w:r>
    </w:p>
    <w:p>
      <w:pPr>
        <w:pStyle w:val="p1a"/>
      </w:pPr>
      <w:r>
        <w:t>Chạy mô hình 3B trên CPU chậm, 68,3 giây mỗi phiếu trong quy trình đầy đủ, nhưng vẫn chấp nhận được cho một tác vụ chỉ thực hiện một lần cho mỗi phiếu, chứ không phải tương tác liên tục. Đổi lại, nó mang đến 2 tính chất quan trọng: dữ liệu bệnh nhân không rời khỏi cơ sở y tế và không cần GPU, nên rào cản phần cứng với một bệnh viện tuyến tỉnh chỉ là chiếc máy mà họ đã có.</w:t>
      </w:r>
    </w:p>
    <w:p>
      <w:pPr/>
      <w:r>
        <w:t>Tỷ lệ 36,0% dùng bản mẫu dự phòng là cái giá của mô hình nhỏ. Với phần phiếu đó, hệ thống suy giảm về mức không tốt hơn phiếu gốc, nhưng cũng không tệ hơn và không bao giờ gây hiểu lầm.</w:t>
      </w:r>
    </w:p>
    <w:p>
      <w:pPr>
        <w:pStyle w:val="heading1"/>
      </w:pPr>
      <w:r>
        <w:t>7</w:t>
      </w:r>
      <w:r>
        <w:tab/>
        <w:t>Giới hạn của nghiên cứu</w:t>
      </w:r>
    </w:p>
    <w:p>
      <w:pPr>
        <w:pStyle w:val="p1a"/>
      </w:pPr>
      <w:r>
        <w:t>Chưa có thẩm định lâm sàng. Toàn bộ đánh giá đều tự động. Không có chuyên gia y tế nào rà soát các lời giải thích khi chúng được sinh ra, nên chúng tôi chỉ có thể khẳng định đầu ra nhất quán, nội tại với các nhãn đã gán, chứ không khẳng định chúng phù hợp về mặt lâm sàng hay thực sự dễ hiểu đối với bệnh nhân.</w:t>
      </w:r>
    </w:p>
    <w:p>
      <w:pPr/>
      <w:r>
        <w:t>Ngưỡng mức độ chưa có căn cứ lâm sàng. Các hệ số phân biệt theo dõi với nên khám sớm được đặt theo kinh nghiệm để minh họa kiến trúc, chưa được đối chiếu với danh mục giá trị nguy hiểm của bất kỳ phòng xét nghiệm nào, và không nên được hiểu là khuyến nghị lâm sàng.</w:t>
      </w:r>
    </w:p>
    <w:p>
      <w:pPr/>
      <w:r>
        <w:t>Dữ liệu được tổng hợp và kiểm chứng dựa trên việc khớp mẫu. Phiếu là sinh ra chứ không phải lâm sàng; phiếu thật có nhiễu, thiếu trường và biến thể định dạng mà nghiên cứu này chưa bao quát. Tầng 4 khớp mẫu bề mặt nên có thể bị lách bằng cách diễn đạt vòng vo. Nó chặn được những lỗi mà nó được thiết kế để phát hiện, nhưng không chặn được mọi nội dung không an toàn.</w:t>
      </w:r>
    </w:p>
    <w:p>
      <w:pPr/>
      <w:r>
        <w:t>Phạm vi. Chỉ hỗ trợ công thức máu; chưa xử lý sinh hóa, miễn dịch; khoảng tham chiếu chỉ có một phía; kết quả định tính; và khoảng tham chiếu chưa phân theo giới tính hoặc độ tuổi. Giả định đầu vào đã có cấu trúc nên OCR nằm ngoài phạm vi. Kết quả chỉ từ một mô hình 3B duy nhất.</w:t>
      </w:r>
    </w:p>
    <w:p>
      <w:pPr>
        <w:pStyle w:val="heading1"/>
      </w:pPr>
      <w:r>
        <w:t>8</w:t>
      </w:r>
      <w:r>
        <w:tab/>
        <w:t>Kết luận</w:t>
      </w:r>
    </w:p>
    <w:p>
      <w:pPr>
        <w:pStyle w:val="p1a"/>
      </w:pPr>
      <w:r>
        <w:t>Chúng tôi trình bày một quy trình giải thích kết quả xét nghiệm máu cho bệnh nhân, trong đó mô hình ngôn ngữ không được phép phán đoán liệu một giá trị có bất thường hay không. Luật xác định điều đó trước; mô hình diễn đạt lại kết quả; một bộ kiểm chứng đối chiếu bản diễn đạt với kết luận đó và thay bằng bản mẫu cố định khi hai bên không khớp.</w:t>
      </w:r>
    </w:p>
    <w:p>
      <w:pPr/>
      <w:r>
        <w:t>Trên 150 phiếu tổng hợp, tỷ lệ trấn an sai giảm từ 32,0% khi không ràng buộc xuống 8,0% khi có ràng buộc prompt, rồi xuống 0 khi có kiểm chứng và quy trình đầy đủ, không tạo ra đầu ra không an toàn nào. Hệ thống chạy trên CPU, không cần GPU và lưu dữ liệu xét nghiệm tại cơ sở y tế.</w:t>
      </w:r>
    </w:p>
    <w:p>
      <w:pPr>
        <w:pStyle w:val="heading1"/>
      </w:pPr>
      <w:r>
        <w:t>9</w:t>
      </w:r>
      <w:r>
        <w:tab/>
        <w:t>Hướng phát triển</w:t>
      </w:r>
    </w:p>
    <w:p>
      <w:pPr>
        <w:pStyle w:val="p1a"/>
      </w:pPr>
      <w:r>
        <w:t>Hướng cấp thiết nhất là thẩm định lâm sàng. Đánh giá hiện tại mới chỉ thiết lập được tính nhất quán nội tại giữa văn bản sinh ra và nhãn đã gán, chứ chưa nói được gì về sự phù hợp lâm sàng; vì vậy, cần có chuyên gia y tế rà soát trước khi có thể tuyên bố bất cứ điều gì về lợi ích cho bệnh nhân. Đi kèm với đó là việc thay các ngưỡng đặt theo kinh nghiệm bằng danh mục giá trị nguy hiểm đã được thiết lập, để phần phán đoán của Tầng 2 có căn cứ lâm sàng thay vì chỉ minh họa kiến trúc.</w:t>
      </w:r>
    </w:p>
    <w:p>
      <w:pPr/>
      <w:r>
        <w:t>Ở mức hệ thống, phạm vi cần được mở rộng ra ngoài công thức máu, sang các nhóm xét nghiệm có khoảng tham chiếu một phía và kết quả định tính, vốn là hai dạng dữ liệu mà thiết kế hiện tại chưa xử lý. Một tầng giọng nói cũng đáng được bổ sung để phục vụ người cao tuổi và người đọc kém; vì tầng này chỉ tiêu thụ văn bản đã qua kiểm chứng nên nó không thể tạo ra lỗi nội dung mới.</w:t>
      </w:r>
    </w:p>
    <w:p>
      <w:pPr/>
      <w:r>
        <w:t>Cuối cùng, hệ thống cần được đánh giá trên phiếu xét nghiệm thật từ nhiều phòng xét nghiệm khác nhau. Đây là phép thử thực sự cho phần chuẩn hóa tên và đơn vị, trước mức độ biến thiên mà dữ liệu tổng hợp trong nghiên cứu này mới chỉ mô phỏng gần đúng.</w:t>
      </w:r>
    </w:p>
    <w:p>
      <w:pPr/>
      <w:r>
        <w:br w:type="page"/>
      </w:r>
    </w:p>
    <w:p>
      <w:pPr>
        <w:pStyle w:val="heading1"/>
      </w:pPr>
      <w:r>
        <w:rPr/>
        <w:t>Phụ lục: Đối chiếu thuật ngữ Việt – Anh</w:t>
      </w:r>
    </w:p>
    <w:p>
      <w:pPr>
        <w:pStyle w:val="p1a"/>
      </w:pPr>
      <w:r>
        <w:t>Bảng 4 đối chiếu các thuật ngữ dùng trong bản tiếng Việt với thuật ngữ tương ứng ở bản tiếng Anh nộp cho hội nghị.</w:t>
      </w:r>
    </w:p>
    <w:p>
      <w:pPr>
        <w:pStyle w:val="tablecaption"/>
      </w:pPr>
      <w:r>
        <w:rPr>
          <w:b/>
        </w:rPr>
        <w:t>Bảng 4.</w:t>
      </w:r>
      <w:r>
        <w:t xml:space="preserve"> Đối chiếu thuật ngữ Việt – Anh.</w:t>
      </w:r>
    </w:p>
    <w:tbl>
      <w:tblPr>
        <w:tblStyle w:val="41"/>
        <w:tblW w:w="6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9"/>
        <w:gridCol w:w="34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b/>
              </w:rPr>
              <w:t>Tiếng Việt</w:t>
            </w:r>
          </w:p>
        </w:tc>
        <w:tc>
          <w:tcPr>
            <w:tcW w:w="3459" w:type="dxa"/>
          </w:tcPr>
          <w:p>
            <w:pPr>
              <w:pStyle w:val="Noidungbang"/>
            </w:pPr>
            <w:r>
              <w:rPr>
                <w:b/>
              </w:rPr>
              <w:t>Tiếng Anh trong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t>Năng lực hiểu biết sức khỏe</w:t>
            </w:r>
          </w:p>
        </w:tc>
        <w:tc>
          <w:tcPr>
            <w:tcW w:w="3459" w:type="dxa"/>
          </w:tcPr>
          <w:p>
            <w:pPr>
              <w:pStyle w:val="Noidungbang"/>
            </w:pPr>
            <w:r>
              <w:rPr/>
              <w:t>health literacy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t>Trấn an sai</w:t>
            </w:r>
          </w:p>
        </w:tc>
        <w:tc>
          <w:tcPr>
            <w:tcW w:w="3459" w:type="dxa"/>
          </w:tcPr>
          <w:p>
            <w:pPr>
              <w:pStyle w:val="Noidungbang"/>
            </w:pPr>
            <w:r>
              <w:rPr/>
              <w:t>false reassurance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t>Sai chiều lệch</w:t>
            </w:r>
          </w:p>
        </w:tc>
        <w:tc>
          <w:tcPr>
            <w:tcW w:w="3459" w:type="dxa"/>
          </w:tcPr>
          <w:p>
            <w:pPr>
              <w:pStyle w:val="Noidungbang"/>
            </w:pPr>
            <w:r>
              <w:rPr/>
              <w:t>direction mismatch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t>Bịa chỉ số</w:t>
            </w:r>
          </w:p>
        </w:tc>
        <w:tc>
          <w:tcPr>
            <w:tcW w:w="3459" w:type="dxa"/>
          </w:tcPr>
          <w:p>
            <w:pPr>
              <w:pStyle w:val="Noidungbang"/>
            </w:pPr>
            <w:r>
              <w:rPr/>
              <w:t>fabricated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t>Bỏ sót chỉ số</w:t>
            </w:r>
          </w:p>
        </w:tc>
        <w:tc>
          <w:tcPr>
            <w:tcW w:w="3459" w:type="dxa"/>
          </w:tcPr>
          <w:p>
            <w:pPr>
              <w:pStyle w:val="Noidungbang"/>
            </w:pPr>
            <w:r>
              <w:rPr/>
              <w:t>omitted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t>Từ khóa bị cấm</w:t>
            </w:r>
          </w:p>
        </w:tc>
        <w:tc>
          <w:tcPr>
            <w:tcW w:w="3459" w:type="dxa"/>
          </w:tcPr>
          <w:p>
            <w:pPr>
              <w:pStyle w:val="Noidungbang"/>
            </w:pPr>
            <w:r>
              <w:rPr/>
              <w:t>forbidden terms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t>Đầu ra an toàn</w:t>
            </w:r>
          </w:p>
        </w:tc>
        <w:tc>
          <w:tcPr>
            <w:tcW w:w="3459" w:type="dxa"/>
          </w:tcPr>
          <w:p>
            <w:pPr>
              <w:pStyle w:val="Noidungbang"/>
            </w:pPr>
            <w:r>
              <w:rPr/>
              <w:t>safe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t>Mô hình tự đạt</w:t>
            </w:r>
          </w:p>
        </w:tc>
        <w:tc>
          <w:tcPr>
            <w:tcW w:w="3459" w:type="dxa"/>
          </w:tcPr>
          <w:p>
            <w:pPr>
              <w:pStyle w:val="Noidungbang"/>
            </w:pPr>
            <w:r>
              <w:rPr/>
              <w:t>model-generated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t>Bản mẫu dự phòng / đường lui</w:t>
            </w:r>
          </w:p>
        </w:tc>
        <w:tc>
          <w:tcPr>
            <w:tcW w:w="3459" w:type="dxa"/>
          </w:tcPr>
          <w:p>
            <w:pPr>
              <w:pStyle w:val="Noidungbang"/>
            </w:pPr>
            <w:r>
              <w:rPr/>
              <w:t>fallback template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t>Khoảng tham chiếu</w:t>
            </w:r>
          </w:p>
        </w:tc>
        <w:tc>
          <w:tcPr>
            <w:tcW w:w="3459" w:type="dxa"/>
          </w:tcPr>
          <w:p>
            <w:pPr>
              <w:pStyle w:val="Noidungbang"/>
            </w:pPr>
            <w:r>
              <w:rPr/>
              <w:t>reference interval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t>Giá trị nguy hiểm</w:t>
            </w:r>
          </w:p>
        </w:tc>
        <w:tc>
          <w:tcPr>
            <w:tcW w:w="3459" w:type="dxa"/>
          </w:tcPr>
          <w:p>
            <w:pPr>
              <w:pStyle w:val="Noidungbang"/>
            </w:pPr>
            <w:r>
              <w:rPr/>
              <w:t>critical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t>Ràng buộc theo luật</w:t>
            </w:r>
          </w:p>
        </w:tc>
        <w:tc>
          <w:tcPr>
            <w:tcW w:w="3459" w:type="dxa"/>
          </w:tcPr>
          <w:p>
            <w:pPr>
              <w:pStyle w:val="Noidungbang"/>
            </w:pPr>
            <w:r>
              <w:rPr/>
              <w:t>rule-constrained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t>Kiểm chứng sau sinh</w:t>
            </w:r>
          </w:p>
        </w:tc>
        <w:tc>
          <w:tcPr>
            <w:tcW w:w="3459" w:type="dxa"/>
          </w:tcPr>
          <w:p>
            <w:pPr>
              <w:pStyle w:val="Noidungbang"/>
            </w:pPr>
            <w:r>
              <w:rPr/>
              <w:t>post-generation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t>Dữ liệu tổng hợp</w:t>
            </w:r>
          </w:p>
        </w:tc>
        <w:tc>
          <w:tcPr>
            <w:tcW w:w="3459" w:type="dxa"/>
          </w:tcPr>
          <w:p>
            <w:pPr>
              <w:pStyle w:val="Noidungbang"/>
            </w:pPr>
            <w:r>
              <w:rPr/>
              <w:t>synthetic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t>Chỉ số (xét nghiệm)</w:t>
            </w:r>
          </w:p>
        </w:tc>
        <w:tc>
          <w:tcPr>
            <w:tcW w:w="3459" w:type="dxa"/>
          </w:tcPr>
          <w:p>
            <w:pPr>
              <w:pStyle w:val="Noidungbang"/>
            </w:pPr>
            <w:r>
              <w:rPr/>
              <w:t>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9" w:type="dxa"/>
          </w:tcPr>
          <w:p>
            <w:pPr>
              <w:pStyle w:val="Noidungbang"/>
            </w:pPr>
            <w:r>
              <w:rPr/>
              <w:t>Phiếu xét nghiệm</w:t>
            </w:r>
          </w:p>
        </w:tc>
        <w:tc>
          <w:tcPr>
            <w:tcW w:w="3459" w:type="dxa"/>
          </w:tcPr>
          <w:p>
            <w:pPr>
              <w:pStyle w:val="Noidungbang"/>
            </w:pPr>
            <w:r>
              <w:rPr/>
              <w:t>panel</w:t>
            </w:r>
          </w:p>
        </w:tc>
      </w:tr>
    </w:tbl>
    <w:p>
      <w:pPr/>
    </w:p>
    <w:p>
      <w:pPr/>
    </w:p>
    <w:p>
      <w:pPr/>
    </w:p>
    <w:p>
      <w:pPr/>
    </w:p>
    <w:p>
      <w:pPr/>
    </w:p>
    <w:p>
      <w:pPr/>
    </w:p>
    <w:p>
      <w:pPr/>
    </w:p>
    <w:p>
      <w:pPr/>
    </w:p>
    <w:p>
      <w:pPr/>
    </w:p>
    <w:p>
      <w:pPr/>
    </w:p>
    <w:p>
      <w:pPr/>
    </w:p>
    <w:p>
      <w:pPr/>
    </w:p>
    <w:p>
      <w:pPr/>
      <w:bookmarkStart w:id="0" w:name="_GoBack"/>
      <w:bookmarkEnd w:id="0"/>
    </w:p>
    <w:p>
      <w:pPr>
        <w:pStyle w:val="heading1"/>
      </w:pPr>
      <w:r>
        <w:rPr/>
        <w:t>Tài liệu tham khảo</w:t>
      </w:r>
    </w:p>
    <w:sdt>
      <w:sdtPr>
        <w:id w:val="1234567"/>
      </w:sdtPr>
      <w:sdtContent>
        <w:p>
          <w:pPr>
            <w:pStyle w:val="Bibliography"/>
          </w:pPr>
          <w:r>
            <w:fldChar w:fldCharType="begin"/>
          </w:r>
          <w:r>
            <w:instrText xml:space="preserve"> BIBLIOGRAPHY \l 1033 </w:instrText>
          </w:r>
          <w:r>
            <w:fldChar w:fldCharType="separate"/>
          </w:r>
        </w:p>
        <w:p>
          <w:pPr>
            <w:pStyle w:val="Bibliography"/>
          </w:pPr>
          <w:r>
            <w:rPr/>
            <w:t>[1] T. D. Giardina, J. Baldwin, D. T. Nystrom, D. F. Sittig, and H. Singh, “Patient perceptions of receiving test results via online portals: A mixed-methods study,” Journal of the American Medical Informatics Association, vol. 25, no. 4, pp. 440–446, 2018.</w:t>
          </w:r>
        </w:p>
        <w:p>
          <w:pPr>
            <w:pStyle w:val="Bibliography"/>
          </w:pPr>
          <w:r>
            <w:rPr/>
            <w:t>[2] Z. He, B. Bhasuran, Q. Jin et al., “Quality of answers of generative large language models versus peer users for interpreting laboratory test results for lay patients: Evaluation study,” Journal of Medical Internet Research, vol. 26, p. e56655, 2024.</w:t>
          </w:r>
        </w:p>
        <w:p>
          <w:pPr>
            <w:pStyle w:val="Bibliography"/>
          </w:pPr>
          <w:r>
            <w:rPr/>
            <w:t>[3] A. Bozer and Y. Pekçevik, “Comparative evaluation of large language models in explaining radiology reports: Expert assessment of readability, understandability, and communication features,” Insights into Imaging, vol. 16, p. 232, 2025.</w:t>
          </w:r>
        </w:p>
        <w:p>
          <w:pPr>
            <w:pStyle w:val="Bibliography"/>
          </w:pPr>
          <w:r>
            <w:rPr/>
            <w:t>[4] R. Kianian, D. Sun, W. Rojas-Carabali, R. Agrawal, and E. Tsui, “Large language models may help patients understand peer-reviewed scientific articles about ophthalmology: Development and usability study,” Journal of Medical Internet Research, vol. 26, p. e59843, 2024.</w:t>
          </w:r>
        </w:p>
        <w:p>
          <w:pPr>
            <w:pStyle w:val="Bibliography"/>
          </w:pPr>
          <w:r>
            <w:rPr/>
            <w:t>[5] J. Cadamuro, F. Cabitza, Z. Debeljak et al., “Potentials and pitfalls of ChatGPT and natural-language artificial intelligence models for the understanding of laboratory medicine test results: An assessment by the European Federation of Clinical Chemistry and Laboratory Medicine (EFLM) Working Group on Artificial Intelligence,” Clinical Chemistry and Laboratory Medicine, vol. 61, no. 7, pp. 1158–1166, 2023.</w:t>
          </w:r>
        </w:p>
        <w:p>
          <w:pPr>
            <w:pStyle w:val="Bibliography"/>
          </w:pPr>
          <w:r>
            <w:rPr/>
            <w:t>[6] C. Munoz-Zuluaga, Z. Zhao, F. Wang, M. B. Greenblatt, and H. S. Yang, “Assessing the accuracy and clinical utility of ChatGPT in laboratory medicine,” Clinical Chemistry, vol. 69, no. 8, pp. 939–940, 2023.</w:t>
          </w:r>
        </w:p>
        <w:p>
          <w:pPr>
            <w:pStyle w:val="Bibliography"/>
          </w:pPr>
          <w:r>
            <w:rPr/>
            <w:t>[7] M. T. Tran, H. T. Lai, H. T. Hoang et al., “Health literacy among older adults: A descriptive cross-sectional analysis in Vietnam,” Journal of Health Literacy, vol. 10, no. 2, pp. 91–100, 2025.</w:t>
          </w:r>
        </w:p>
        <w:p>
          <w:pPr>
            <w:pStyle w:val="Bibliography"/>
          </w:pPr>
          <w:r>
            <w:rPr/>
            <w:t>[8] “Factors associated with health literacy among the elderly people in Vietnam,” BioMed Research International, vol. 2020, p. 3490635, 2020.</w:t>
          </w:r>
        </w:p>
        <w:p>
          <w:pPr>
            <w:pStyle w:val="Bibliography"/>
          </w:pPr>
          <w:r>
            <w:rPr/>
            <w:t>[9] T. T. H. Dinh and A. Bonner, “Psychometric properties of the health literacy questionnaire tested in Vietnamese adults with chronic diseases,” BMC Public Health, vol. 25, p. 44, 2025.</w:t>
          </w:r>
        </w:p>
        <w:p>
          <w:pPr>
            <w:pStyle w:val="Bibliography"/>
          </w:pPr>
          <w:r>
            <w:rPr/>
            <w:t>[10] B. N. Nguyen, T. T. Ngo et al., “Health and eHealth literacy in Vietnam: Evidence from a national survey,” Patient Education and Counseling, vol. 148, p. 109583, 2026.</w:t>
          </w:r>
        </w:p>
        <w:p>
          <w:pPr>
            <w:pStyle w:val="Bibliography"/>
          </w:pPr>
          <w:r>
            <w:rPr/>
            <w:t>[11] S. Geng, M. Josifoski, M. Peyrard, and R. West, “Grammar-constrained decoding for structured NLP tasks without fine-tuning,” in Proc. 2023 Conf. Empirical Methods in Natural Language Processing (EMNLP), 2023.</w:t>
          </w:r>
        </w:p>
        <w:p>
          <w:pPr>
            <w:pStyle w:val="Bibliography"/>
          </w:pPr>
          <w:r>
            <w:rPr/>
            <w:t>[12] B. T. Willard and R. Louf, “Efficient guided generation for large language models,” arXiv preprint arXiv:2307.09702, 2023.</w:t>
          </w:r>
        </w:p>
        <w:p>
          <w:pPr>
            <w:pStyle w:val="Bibliography"/>
          </w:pPr>
          <w:r>
            <w:rPr/>
            <w:t>[13] S. Choi, T. Fang, Z. Wang, and Y. Song, “KCTS: Knowledge-constrained tree search decoding with token-level hallucination detection,” in Proc. 2023 Conf. Empirical Methods in Natural Language Processing (EMNLP), 2023.</w:t>
          </w:r>
        </w:p>
        <w:p>
          <w:pPr>
            <w:pStyle w:val="Bibliography"/>
          </w:pPr>
          <w:r>
            <w:rPr/>
            <w:t>[14] P. Naliyatthaliyazchayil and T. Stenerson, “Harmonizing Logical Observation Identifiers Names and Codes (LOINC) codes and units in real-world oncology data: Method development and evaluation,” JMIR Medical Informatics, vol. 14, p. e81254, 2026.</w:t>
          </w:r>
        </w:p>
        <w:p>
          <w:pPr>
            <w:pStyle w:val="Bibliography"/>
          </w:pPr>
          <w:r>
            <w:rPr/>
            <w:t>[15] A. M. Zayed, I. Sarikakis, and N. Delvaux, “Automated standardization and harmonization of laboratory units in large-scale clinical data using open-source R functions,” International Journal of Medical Informatics, vol. 205, p. 106131, 2025.</w:t>
          </w:r>
        </w:p>
        <w:p>
          <w:pPr>
            <w:pStyle w:val="Bibliography"/>
          </w:pPr>
          <w:r>
            <w:rPr/>
            <w:t>[16] S. K. Parr, M. S. Shotwell, A. D. Jeffery, T. A. Lasko, and M. E. Matheny, “Automated mapping of laboratory tests to LOINC codes using noisy labels in a national electronic health record system database,” Journal of the American Medical Informatics Association, vol. 25, no. 10, pp. 1292–1300, 2018.</w:t>
          </w:r>
        </w:p>
        <w:p>
          <w:pPr>
            <w:pStyle w:val="Bibliography"/>
          </w:pPr>
          <w:r>
            <w:rPr/>
            <w:t>[17] J. de la Torre, “Scalable unit harmonization in medical informatics via Bayesian-optimized retrieval and transformer-based re-ranking,” International Journal of Medical Informatics, vol. 206, p. 106180, 2026.</w:t>
          </w:r>
        </w:p>
        <w:p>
          <w:pPr>
            <w:pStyle w:val="Bibliography"/>
          </w:pPr>
          <w:r>
            <w:fldChar w:fldCharType="end"/>
          </w:r>
        </w:p>
      </w:sdtContent>
    </w:sdt>
    <w:sectPr>
      <w:headerReference w:type="first" r:id="rId10"/>
      <w:headerReference w:type="default" r:id="rId11"/>
      <w:pgSz w:w="11906" w:h="16838"/>
      <w:pgMar w:top="2948" w:right="2494" w:bottom="2948" w:left="2494" w:header="2381" w:footer="2324"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19"/>
    </w:pPr>
    <w:fldSimple w:instr="PAGE   \* MERGEFORMAT">
      <w:r>
        <w:t>2</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31"/>
      <w:lvlText w:val="%1."/>
      <w:lvlJc w:val="left"/>
      <w:pPr>
        <w:tabs>
          <w:tab w:val="left" w:pos="1080"/>
        </w:tabs>
        <w:ind w:left="850" w:hanging="283"/>
      </w:pPr>
    </w:lvl>
  </w:abstractNum>
  <w:abstractNum w:abstractNumId="1">
    <w:nsid w:val="FFFFFF7F"/>
    <w:multiLevelType w:val="singleLevel"/>
    <w:tmpl w:val="FFFFFF7F"/>
    <w:lvl w:ilvl="0" w:tentative="0">
      <w:start w:val="1"/>
      <w:numFmt w:val="decimal"/>
      <w:pStyle w:val="30"/>
      <w:lvlText w:val="%1."/>
      <w:lvlJc w:val="left"/>
      <w:pPr>
        <w:tabs>
          <w:tab w:val="left" w:pos="720"/>
        </w:tabs>
        <w:ind w:left="850" w:hanging="283"/>
      </w:pPr>
    </w:lvl>
  </w:abstractNum>
  <w:abstractNum w:abstractNumId="2">
    <w:nsid w:val="FFFFFF82"/>
    <w:multiLevelType w:val="singleLevel"/>
    <w:tmpl w:val="FFFFFF82"/>
    <w:lvl w:ilvl="0" w:tentative="0">
      <w:start w:val="1"/>
      <w:numFmt w:val="bullet"/>
      <w:pStyle w:val="25"/>
      <w:lvlText w:val=""/>
      <w:lvlJc w:val="left"/>
      <w:pPr>
        <w:tabs>
          <w:tab w:val="left" w:pos="1080"/>
        </w:tabs>
        <w:ind w:left="850" w:hanging="283"/>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850" w:hanging="283"/>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227" w:hanging="57"/>
      </w:pPr>
    </w:lvl>
  </w:abstractNum>
  <w:abstractNum w:abstractNumId="5">
    <w:nsid w:val="FFFFFF89"/>
    <w:multiLevelType w:val="singleLevel"/>
    <w:tmpl w:val="FFFFFF89"/>
    <w:lvl w:ilvl="0" w:tentative="0">
      <w:start w:val="1"/>
      <w:numFmt w:val="bullet"/>
      <w:pStyle w:val="23"/>
      <w:lvlText w:val=""/>
      <w:lvlJc w:val="left"/>
      <w:pPr>
        <w:tabs>
          <w:tab w:val="left" w:pos="360"/>
        </w:tabs>
        <w:ind w:left="850" w:hanging="283"/>
      </w:pPr>
      <w:rPr>
        <w:rFonts w:hint="default" w:ascii="Symbol" w:hAnsi="Symbol"/>
      </w:rPr>
    </w:lvl>
  </w:abstractNum>
  <w:abstractNum w:abstractNumId="6">
    <w:nsid w:val="033F2BED"/>
    <w:multiLevelType w:val="multilevel"/>
    <w:tmpl w:val="033F2BED"/>
    <w:lvl w:ilvl="0" w:tentative="0">
      <w:start w:val="1"/>
      <w:numFmt w:val="bullet"/>
      <w:lvlText w:val=""/>
      <w:lvlJc w:val="left"/>
      <w:pPr>
        <w:ind w:left="227" w:hanging="227"/>
      </w:pPr>
      <w:rPr>
        <w:rFonts w:ascii="Symbol" w:hAnsi="Symbol" w:hint="default"/>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7">
    <w:nsid w:val="18192677"/>
    <w:multiLevelType w:val="multilevel"/>
    <w:tmpl w:val="18192677"/>
    <w:lvl w:ilvl="0" w:tentative="0">
      <w:start w:val="1"/>
      <w:numFmt w:val="bullet"/>
      <w:lvlText w:val=""/>
      <w:lvlJc w:val="left"/>
      <w:pPr>
        <w:ind w:left="227" w:hanging="227"/>
      </w:pPr>
      <w:rPr>
        <w:rFonts w:ascii="Symbol" w:hAnsi="Symbol" w:hint="default"/>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8">
    <w:nsid w:val="1A7700C5"/>
    <w:multiLevelType w:val="multilevel"/>
    <w:tmpl w:val="1A7700C5"/>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301E2ACD"/>
    <w:multiLevelType w:val="multilevel"/>
    <w:tmpl w:val="301E2ACD"/>
    <w:lvl w:ilvl="0" w:tentative="0">
      <w:start w:val="1"/>
      <w:numFmt w:val="bullet"/>
      <w:lvlText w:val=""/>
      <w:lvlJc w:val="left"/>
      <w:pPr>
        <w:ind w:left="227" w:hanging="227"/>
      </w:pPr>
      <w:rPr>
        <w:rFonts w:ascii="Symbol" w:hAnsi="Symbol" w:hint="default"/>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10">
    <w:nsid w:val="3AB85290"/>
    <w:multiLevelType w:val="multilevel"/>
    <w:tmpl w:val="3AB85290"/>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1">
    <w:nsid w:val="50F170EB"/>
    <w:multiLevelType w:val="multilevel"/>
    <w:tmpl w:val="50F170EB"/>
    <w:lvl w:ilvl="0" w:tentative="0">
      <w:start w:val="1"/>
      <w:numFmt w:val="bullet"/>
      <w:lvlText w:val=""/>
      <w:lvlJc w:val="left"/>
      <w:pPr>
        <w:ind w:left="850" w:hanging="283"/>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
    <w:nsid w:val="730B4F8A"/>
    <w:multiLevelType w:val="multilevel"/>
    <w:tmpl w:val="730B4F8A"/>
    <w:lvl w:ilvl="0" w:tentative="0">
      <w:start w:val="1"/>
      <w:numFmt w:val="bullet"/>
      <w:lvlText w:val=""/>
      <w:lvlJc w:val="left"/>
      <w:pPr>
        <w:ind w:left="227" w:hanging="227"/>
      </w:pPr>
      <w:rPr>
        <w:rFonts w:ascii="Symbol" w:hAnsi="Symbol" w:hint="default"/>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9"/>
  </w:num>
  <w:num w:numId="9">
    <w:abstractNumId w:val="10"/>
  </w:num>
  <w:num w:numId="10">
    <w:abstractNumId w:val="7"/>
  </w:num>
  <w:num w:numId="11">
    <w:abstractNumId w:val="12"/>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4454"/>
    <w:rsid w:val="0029639D"/>
    <w:rsid w:val="00300B5C"/>
    <w:rsid w:val="00326F90"/>
    <w:rsid w:val="00420B22"/>
    <w:rsid w:val="00426B06"/>
    <w:rsid w:val="00482294"/>
    <w:rsid w:val="00564493"/>
    <w:rsid w:val="006D4667"/>
    <w:rsid w:val="00747DFE"/>
    <w:rsid w:val="00885DB5"/>
    <w:rsid w:val="00A14B43"/>
    <w:rsid w:val="00A5445A"/>
    <w:rsid w:val="00AA1D8D"/>
    <w:rsid w:val="00B47730"/>
    <w:rsid w:val="00BA53AD"/>
    <w:rsid w:val="00C048AE"/>
    <w:rsid w:val="00C4044A"/>
    <w:rsid w:val="00CB0664"/>
    <w:rsid w:val="00CC4447"/>
    <w:rsid w:val="00CF0E71"/>
    <w:rsid w:val="00EF09CA"/>
    <w:rsid w:val="00FC693F"/>
    <w:rsid w:val="227C2BFE"/>
    <w:rsid w:val="32EC4D25"/>
    <w:rsid w:val="46CC3A71"/>
    <w:rsid w:val="55FD065C"/>
    <w:rsid w:val="577A0FB7"/>
    <w:rsid w:val="58147E86"/>
    <w:rsid w:val="70964E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tLeast"/>
      <w:ind w:firstLine="227"/>
      <w:jc w:val="both"/>
    </w:pPr>
    <w:rPr>
      <w:rFonts w:ascii="Times New Roman" w:hAnsi="Times New Roman" w:cs="Times New Roman" w:eastAsia="Times New Roman"/>
      <w:sz w:val="20"/>
      <w:szCs w:val="20"/>
    </w:rPr>
  </w:style>
  <w:style w:type="paragraph" w:styleId="2">
    <w:name w:val="heading 1"/>
    <w:basedOn w:val="1"/>
    <w:next w:val="1"/>
    <w:link w:val="143"/>
    <w:qFormat/>
    <w:uiPriority w:val="9"/>
    <w:pPr>
      <w:keepNext/>
      <w:widowControl/>
      <w:spacing w:before="240" w:after="120" w:line="360" w:lineRule="auto"/>
      <w:ind w:left="0" w:right="0" w:firstLine="0"/>
      <w:jc w:val="left"/>
      <w:outlineLvl w:val="0"/>
    </w:pPr>
    <w:rPr>
      <w:rFonts w:ascii="Times New Roman" w:hAnsi="Times New Roman" w:cs="Times New Roman" w:eastAsia="Times New Roman"/>
      <w:b/>
      <w:i w:val="0"/>
      <w:sz w:val="28"/>
    </w:rPr>
  </w:style>
  <w:style w:type="paragraph" w:styleId="3">
    <w:name w:val="heading 2"/>
    <w:basedOn w:val="1"/>
    <w:next w:val="1"/>
    <w:link w:val="144"/>
    <w:unhideWhenUsed/>
    <w:qFormat/>
    <w:uiPriority w:val="9"/>
    <w:pPr>
      <w:keepNext/>
      <w:widowControl/>
      <w:spacing w:before="120" w:after="120" w:line="360" w:lineRule="auto"/>
      <w:ind w:left="0" w:right="0" w:firstLine="0"/>
      <w:jc w:val="left"/>
      <w:outlineLvl w:val="1"/>
    </w:pPr>
    <w:rPr>
      <w:rFonts w:ascii="Times New Roman" w:hAnsi="Times New Roman" w:cs="Times New Roman" w:eastAsia="Times New Roman"/>
      <w:b/>
      <w:i w:val="0"/>
      <w:sz w:val="26"/>
    </w:rPr>
  </w:style>
  <w:style w:type="paragraph" w:styleId="4">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5">
    <w:name w:val="Default Paragraph Font"/>
    <w:semiHidden/>
    <w:unhideWhenUsed/>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171"/>
    <w:semiHidden/>
    <w:unhideWhenUsed/>
    <w:uiPriority w:val="99"/>
    <w:pPr>
      <w:spacing w:after="0" w:line="240" w:lineRule="auto"/>
    </w:pPr>
    <w:rPr>
      <w:rFonts w:ascii="Segoe UI" w:hAnsi="Segoe UI" w:cs="Segoe UI"/>
      <w:sz w:val="18"/>
      <w:szCs w:val="18"/>
    </w:rPr>
  </w:style>
  <w:style w:type="paragraph" w:styleId="12">
    <w:name w:val="Body Text"/>
    <w:basedOn w:val="1"/>
    <w:link w:val="149"/>
    <w:unhideWhenUsed/>
    <w:qFormat/>
    <w:uiPriority w:val="99"/>
    <w:pPr>
      <w:spacing w:after="120"/>
    </w:pPr>
  </w:style>
  <w:style w:type="paragraph" w:styleId="13">
    <w:name w:val="Body Text 2"/>
    <w:basedOn w:val="1"/>
    <w:link w:val="150"/>
    <w:unhideWhenUsed/>
    <w:uiPriority w:val="99"/>
    <w:pPr>
      <w:spacing w:after="120" w:line="480" w:lineRule="auto"/>
    </w:pPr>
  </w:style>
  <w:style w:type="paragraph" w:styleId="14">
    <w:name w:val="Body Text 3"/>
    <w:basedOn w:val="1"/>
    <w:link w:val="151"/>
    <w:unhideWhenUsed/>
    <w:qFormat/>
    <w:uiPriority w:val="99"/>
    <w:pPr>
      <w:spacing w:after="120"/>
    </w:pPr>
    <w:rPr>
      <w:sz w:val="16"/>
      <w:szCs w:val="16"/>
    </w:rPr>
  </w:style>
  <w:style w:type="paragraph" w:styleId="15">
    <w:name w:val="caption"/>
    <w:basedOn w:val="1"/>
    <w:next w:val="1"/>
    <w:semiHidden/>
    <w:unhideWhenUsed/>
    <w:qFormat/>
    <w:uiPriority w:val="35"/>
    <w:pPr>
      <w:keepNext/>
      <w:widowControl/>
      <w:spacing w:before="120" w:after="120" w:line="240" w:lineRule="auto"/>
      <w:ind w:left="0" w:right="0" w:firstLine="0"/>
      <w:jc w:val="center"/>
    </w:pPr>
    <w:rPr>
      <w:rFonts w:ascii="Times New Roman" w:hAnsi="Times New Roman" w:cs="Times New Roman" w:eastAsia="Times New Roman"/>
      <w:b/>
      <w:i w:val="0"/>
      <w:sz w:val="26"/>
    </w:rPr>
  </w:style>
  <w:style w:type="paragraph" w:styleId="16">
    <w:name w:val="annotation text"/>
    <w:basedOn w:val="1"/>
    <w:link w:val="169"/>
    <w:semiHidden/>
    <w:unhideWhenUsed/>
    <w:uiPriority w:val="99"/>
    <w:pPr>
      <w:spacing w:line="240" w:lineRule="auto"/>
    </w:pPr>
    <w:rPr>
      <w:sz w:val="20"/>
      <w:szCs w:val="20"/>
    </w:rPr>
  </w:style>
  <w:style w:type="paragraph" w:styleId="17">
    <w:name w:val="annotation subject"/>
    <w:basedOn w:val="16"/>
    <w:next w:val="16"/>
    <w:link w:val="170"/>
    <w:semiHidden/>
    <w:unhideWhenUsed/>
    <w:uiPriority w:val="99"/>
    <w:rPr>
      <w:b/>
      <w:bCs/>
    </w:rPr>
  </w:style>
  <w:style w:type="paragraph" w:styleId="18">
    <w:name w:val="footer"/>
    <w:basedOn w:val="1"/>
    <w:link w:val="141"/>
    <w:unhideWhenUsed/>
    <w:uiPriority w:val="99"/>
    <w:pPr>
      <w:keepNext w:val="0"/>
      <w:widowControl/>
      <w:spacing w:before="0" w:after="0" w:line="240" w:lineRule="auto"/>
      <w:ind w:left="0" w:right="0" w:firstLine="0"/>
      <w:jc w:val="center"/>
    </w:pPr>
    <w:rPr>
      <w:rFonts w:ascii="Times New Roman" w:hAnsi="Times New Roman" w:cs="Times New Roman" w:eastAsia="Times New Roman"/>
      <w:sz w:val="24"/>
    </w:rPr>
  </w:style>
  <w:style w:type="paragraph" w:styleId="19">
    <w:name w:val="header"/>
    <w:basedOn w:val="1"/>
    <w:link w:val="140"/>
    <w:unhideWhenUsed/>
    <w:qFormat/>
    <w:uiPriority w:val="99"/>
    <w:pPr>
      <w:ind w:firstLine="0"/>
      <w:jc w:val="right"/>
    </w:pPr>
    <w:rPr>
      <w:sz w:val="18"/>
      <w:szCs w:val="18"/>
    </w:r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keepNext w:val="0"/>
      <w:widowControl/>
      <w:spacing w:before="0" w:after="120" w:line="360" w:lineRule="auto"/>
      <w:ind w:left="850" w:right="0" w:hanging="283"/>
      <w:jc w:val="both"/>
      <w:numPr>
        <w:ilvl w:val="0"/>
        <w:numId w:val="1"/>
      </w:numPr>
    </w:pPr>
    <w:rPr>
      <w:rFonts w:ascii="Times New Roman" w:hAnsi="Times New Roman" w:cs="Times New Roman" w:eastAsia="Times New Roman"/>
      <w:sz w:val="26"/>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keepNext w:val="0"/>
      <w:widowControl/>
      <w:spacing w:before="0" w:after="120" w:line="360" w:lineRule="auto"/>
      <w:ind w:left="850" w:right="0" w:hanging="283"/>
      <w:jc w:val="both"/>
      <w:numPr>
        <w:ilvl w:val="0"/>
        <w:numId w:val="4"/>
      </w:numPr>
    </w:pPr>
    <w:rPr>
      <w:rFonts w:ascii="Times New Roman" w:hAnsi="Times New Roman" w:cs="Times New Roman" w:eastAsia="Times New Roman"/>
      <w:sz w:val="26"/>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Title"/>
    <w:basedOn w:val="1"/>
    <w:next w:val="1"/>
    <w:link w:val="146"/>
    <w:qFormat/>
    <w:uiPriority w:val="10"/>
    <w:pPr>
      <w:keepNext/>
      <w:widowControl/>
      <w:spacing w:before="0" w:after="120" w:line="240" w:lineRule="auto"/>
      <w:ind w:left="0" w:right="0" w:firstLine="0"/>
      <w:jc w:val="center"/>
    </w:pPr>
    <w:rPr>
      <w:rFonts w:ascii="Times New Roman" w:hAnsi="Times New Roman" w:cs="Times New Roman" w:eastAsia="Times New Roman"/>
      <w:b/>
      <w:sz w:val="32"/>
    </w:rPr>
  </w:style>
  <w:style w:type="character" w:styleId="36">
    <w:name w:val="annotation reference"/>
    <w:basedOn w:val="35"/>
    <w:semiHidden/>
    <w:unhideWhenUsed/>
    <w:uiPriority w:val="99"/>
    <w:rPr>
      <w:sz w:val="16"/>
      <w:szCs w:val="16"/>
    </w:rPr>
  </w:style>
  <w:style w:type="character" w:styleId="37">
    <w:name w:val="Emphasis"/>
    <w:basedOn w:val="35"/>
    <w:qFormat/>
    <w:uiPriority w:val="20"/>
    <w:rPr>
      <w:i/>
      <w:iCs/>
    </w:rPr>
  </w:style>
  <w:style w:type="character" w:styleId="38">
    <w:name w:val="Hyperlink"/>
    <w:basedOn w:val="35"/>
    <w:unhideWhenUsed/>
    <w:uiPriority w:val="99"/>
    <w:rPr>
      <w:color w:val="0000FF" w:themeColor="hyperlink"/>
      <w:u w:val="single"/>
      <w14:textFill>
        <w14:solidFill>
          <w14:schemeClr w14:val="hlink"/>
        </w14:solidFill>
      </w14:textFill>
    </w:rPr>
  </w:style>
  <w:style w:type="character" w:styleId="39">
    <w:name w:val="Strong"/>
    <w:basedOn w:val="35"/>
    <w:qFormat/>
    <w:uiPriority w:val="22"/>
    <w:rPr>
      <w:b/>
      <w:bCs/>
    </w:rPr>
  </w:style>
  <w:style w:type="table" w:styleId="41">
    <w:name w:val="Table Grid"/>
    <w:basedOn w:val="4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2">
    <w:name w:val="Light Shading"/>
    <w:basedOn w:val="40"/>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40"/>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40"/>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40"/>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40"/>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40"/>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40"/>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40"/>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40"/>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40"/>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40"/>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40"/>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40"/>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40"/>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40"/>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40"/>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40"/>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40"/>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40"/>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40"/>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40"/>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40"/>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40"/>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40"/>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40"/>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40"/>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40"/>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40"/>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40"/>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40"/>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40"/>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40"/>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40"/>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40"/>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40"/>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40"/>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40"/>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40"/>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40"/>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40"/>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40"/>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40"/>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40"/>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40"/>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40"/>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40"/>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40"/>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40"/>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40"/>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40"/>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40"/>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40"/>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40"/>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40"/>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35"/>
    <w:link w:val="19"/>
    <w:uiPriority w:val="99"/>
  </w:style>
  <w:style w:type="character" w:customStyle="1" w:styleId="141">
    <w:name w:val="Footer Char"/>
    <w:basedOn w:val="35"/>
    <w:link w:val="18"/>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35"/>
    <w:link w:val="2"/>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3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35"/>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35"/>
    <w:link w:val="33"/>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35"/>
    <w:link w:val="12"/>
    <w:uiPriority w:val="99"/>
  </w:style>
  <w:style w:type="character" w:customStyle="1" w:styleId="150">
    <w:name w:val="Body Text 2 Char"/>
    <w:basedOn w:val="35"/>
    <w:link w:val="13"/>
    <w:uiPriority w:val="99"/>
  </w:style>
  <w:style w:type="character" w:customStyle="1" w:styleId="151">
    <w:name w:val="Body Text 3 Char"/>
    <w:basedOn w:val="35"/>
    <w:link w:val="14"/>
    <w:qFormat/>
    <w:uiPriority w:val="99"/>
    <w:rPr>
      <w:sz w:val="16"/>
      <w:szCs w:val="16"/>
    </w:rPr>
  </w:style>
  <w:style w:type="character" w:customStyle="1" w:styleId="152">
    <w:name w:val="Macro Text Char"/>
    <w:basedOn w:val="35"/>
    <w:link w:val="3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35"/>
    <w:link w:val="153"/>
    <w:uiPriority w:val="29"/>
    <w:rPr>
      <w:i/>
      <w:iCs/>
      <w:color w:val="000000" w:themeColor="text1"/>
      <w14:textFill>
        <w14:solidFill>
          <w14:schemeClr w14:val="tx1"/>
        </w14:solidFill>
      </w14:textFill>
    </w:rPr>
  </w:style>
  <w:style w:type="character" w:customStyle="1" w:styleId="155">
    <w:name w:val="Heading 4 Char"/>
    <w:basedOn w:val="35"/>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35"/>
    <w:link w:val="6"/>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35"/>
    <w:link w:val="7"/>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35"/>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35"/>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35"/>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35"/>
    <w:link w:val="161"/>
    <w:qFormat/>
    <w:uiPriority w:val="30"/>
    <w:rPr>
      <w:b/>
      <w:bCs/>
      <w:i/>
      <w:iCs/>
      <w:color w:val="4F81BD" w:themeColor="accent1"/>
      <w14:textFill>
        <w14:solidFill>
          <w14:schemeClr w14:val="accent1"/>
        </w14:solidFill>
      </w14:textFill>
    </w:rPr>
  </w:style>
  <w:style w:type="character" w:customStyle="1" w:styleId="163">
    <w:name w:val="Subtle Emphasis1"/>
    <w:basedOn w:val="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1"/>
    <w:basedOn w:val="35"/>
    <w:qFormat/>
    <w:uiPriority w:val="21"/>
    <w:rPr>
      <w:b/>
      <w:bCs/>
      <w:i/>
      <w:iCs/>
      <w:color w:val="4F81BD" w:themeColor="accent1"/>
      <w14:textFill>
        <w14:solidFill>
          <w14:schemeClr w14:val="accent1"/>
        </w14:solidFill>
      </w14:textFill>
    </w:rPr>
  </w:style>
  <w:style w:type="character" w:customStyle="1" w:styleId="165">
    <w:name w:val="Subtle Reference1"/>
    <w:basedOn w:val="35"/>
    <w:qFormat/>
    <w:uiPriority w:val="31"/>
    <w:rPr>
      <w:smallCaps/>
      <w:color w:val="C0504D" w:themeColor="accent2"/>
      <w:u w:val="single"/>
      <w14:textFill>
        <w14:solidFill>
          <w14:schemeClr w14:val="accent2"/>
        </w14:solidFill>
      </w14:textFill>
    </w:rPr>
  </w:style>
  <w:style w:type="character" w:customStyle="1" w:styleId="166">
    <w:name w:val="Intense Reference1"/>
    <w:basedOn w:val="35"/>
    <w:qFormat/>
    <w:uiPriority w:val="32"/>
    <w:rPr>
      <w:b/>
      <w:bCs/>
      <w:smallCaps/>
      <w:color w:val="C0504D" w:themeColor="accent2"/>
      <w:spacing w:val="5"/>
      <w:u w:val="single"/>
      <w14:textFill>
        <w14:solidFill>
          <w14:schemeClr w14:val="accent2"/>
        </w14:solidFill>
      </w14:textFill>
    </w:rPr>
  </w:style>
  <w:style w:type="character" w:customStyle="1" w:styleId="167">
    <w:name w:val="Book Title1"/>
    <w:basedOn w:val="35"/>
    <w:qFormat/>
    <w:uiPriority w:val="33"/>
    <w:rPr>
      <w:b/>
      <w:bCs/>
      <w:smallCaps/>
      <w:spacing w:val="5"/>
    </w:rPr>
  </w:style>
  <w:style w:type="paragraph" w:customStyle="1" w:styleId="168">
    <w:name w:val="TOC Heading1"/>
    <w:basedOn w:val="2"/>
    <w:next w:val="1"/>
    <w:semiHidden/>
    <w:unhideWhenUsed/>
    <w:qFormat/>
    <w:uiPriority w:val="39"/>
    <w:pPr>
      <w:outlineLvl w:val="9"/>
    </w:pPr>
  </w:style>
  <w:style w:type="character" w:customStyle="1" w:styleId="169">
    <w:name w:val="Comment Text Char"/>
    <w:basedOn w:val="35"/>
    <w:link w:val="16"/>
    <w:semiHidden/>
    <w:uiPriority w:val="99"/>
    <w:rPr>
      <w:rFonts w:ascii="Times New Roman" w:hAnsi="Times New Roman" w:eastAsia="Times New Roman" w:cs="Times New Roman"/>
      <w:color w:val="000000"/>
      <w:sz w:val="20"/>
      <w:szCs w:val="20"/>
    </w:rPr>
  </w:style>
  <w:style w:type="character" w:customStyle="1" w:styleId="170">
    <w:name w:val="Comment Subject Char"/>
    <w:basedOn w:val="169"/>
    <w:link w:val="17"/>
    <w:semiHidden/>
    <w:uiPriority w:val="99"/>
    <w:rPr>
      <w:rFonts w:ascii="Times New Roman" w:hAnsi="Times New Roman" w:eastAsia="Times New Roman" w:cs="Times New Roman"/>
      <w:b/>
      <w:bCs/>
      <w:color w:val="000000"/>
      <w:sz w:val="20"/>
      <w:szCs w:val="20"/>
    </w:rPr>
  </w:style>
  <w:style w:type="character" w:customStyle="1" w:styleId="171">
    <w:name w:val="Balloon Text Char"/>
    <w:basedOn w:val="35"/>
    <w:link w:val="11"/>
    <w:semiHidden/>
    <w:uiPriority w:val="99"/>
    <w:rPr>
      <w:rFonts w:ascii="Segoe UI" w:hAnsi="Segoe UI" w:eastAsia="Times New Roman" w:cs="Segoe UI"/>
      <w:color w:val="000000"/>
      <w:sz w:val="18"/>
      <w:szCs w:val="18"/>
    </w:rPr>
  </w:style>
  <w:style w:type="character" w:customStyle="1" w:styleId="172">
    <w:name w:val="Unresolved Mention"/>
    <w:basedOn w:val="35"/>
    <w:semiHidden/>
    <w:unhideWhenUsed/>
    <w:uiPriority w:val="99"/>
    <w:rPr>
      <w:color w:val="605E5C"/>
      <w:shd w:val="clear" w:color="auto" w:fill="E1DFDD"/>
    </w:rPr>
  </w:style>
  <w:style w:type="paragraph" w:customStyle="1" w:styleId="Noidungbang">
    <w:name w:val="Noi dung bang"/>
    <w:basedOn w:val="1"/>
    <w:qFormat/>
    <w:pPr>
      <w:spacing w:before="0" w:after="0" w:line="220" w:lineRule="atLeast"/>
      <w:ind w:firstLine="0"/>
      <w:jc w:val="left"/>
    </w:pPr>
    <w:rPr>
      <w:sz w:val="18"/>
      <w:szCs w:val="18"/>
    </w:rPr>
  </w:style>
  <w:style w:type="paragraph" w:customStyle="1" w:styleId="Bibliography">
    <w:name w:val="Bibliography"/>
    <w:basedOn w:val="1"/>
    <w:qFormat/>
    <w:pPr>
      <w:spacing w:line="220" w:lineRule="atLeast"/>
      <w:ind w:left="454" w:hanging="454"/>
      <w:jc w:val="both"/>
    </w:pPr>
    <w:rPr>
      <w:sz w:val="18"/>
      <w:szCs w:val="18"/>
    </w:rPr>
  </w:style>
  <w:style w:type="paragraph" w:customStyle="1" w:styleId="p1a">
    <w:name w:val="p1a"/>
    <w:basedOn w:val="1"/>
    <w:qFormat/>
    <w:pPr>
      <w:ind w:firstLine="0"/>
    </w:pPr>
    <w:rPr/>
  </w:style>
  <w:style w:type="paragraph" w:customStyle="1" w:styleId="papertitle">
    <w:name w:val="papertitle"/>
    <w:basedOn w:val="1"/>
    <w:qFormat/>
    <w:pPr>
      <w:keepNext/>
      <w:keepLines/>
      <w:suppressAutoHyphens/>
      <w:spacing w:after="480" w:line="360" w:lineRule="atLeast"/>
      <w:ind w:firstLine="0"/>
      <w:jc w:val="center"/>
    </w:pPr>
    <w:rPr>
      <w:b/>
      <w:sz w:val="28"/>
      <w:szCs w:val="28"/>
    </w:rPr>
  </w:style>
  <w:style w:type="paragraph" w:customStyle="1" w:styleId="author">
    <w:name w:val="author"/>
    <w:basedOn w:val="1"/>
    <w:qFormat/>
    <w:pPr>
      <w:spacing w:after="200" w:line="220" w:lineRule="atLeast"/>
      <w:ind w:firstLine="0"/>
      <w:jc w:val="center"/>
    </w:pPr>
    <w:rPr>
      <w:sz w:val="20"/>
      <w:szCs w:val="20"/>
    </w:rPr>
  </w:style>
  <w:style w:type="paragraph" w:customStyle="1" w:styleId="address">
    <w:name w:val="address"/>
    <w:basedOn w:val="1"/>
    <w:qFormat/>
    <w:pPr>
      <w:spacing w:after="200" w:line="220" w:lineRule="atLeast"/>
      <w:ind w:firstLine="0"/>
      <w:contextualSpacing/>
      <w:jc w:val="center"/>
    </w:pPr>
    <w:rPr>
      <w:sz w:val="18"/>
      <w:szCs w:val="18"/>
    </w:rPr>
  </w:style>
  <w:style w:type="paragraph" w:customStyle="1" w:styleId="abstract">
    <w:name w:val="abstract"/>
    <w:basedOn w:val="1"/>
    <w:qFormat/>
    <w:pPr>
      <w:spacing w:before="600" w:after="360" w:line="220" w:lineRule="atLeast"/>
      <w:ind w:left="567" w:right="567"/>
      <w:contextualSpacing/>
    </w:pPr>
    <w:rPr>
      <w:sz w:val="18"/>
      <w:szCs w:val="18"/>
    </w:rPr>
  </w:style>
  <w:style w:type="paragraph" w:customStyle="1" w:styleId="keywords">
    <w:name w:val="keywords"/>
    <w:basedOn w:val="abstract"/>
    <w:qFormat/>
    <w:pPr>
      <w:spacing w:before="220"/>
      <w:ind w:firstLine="0"/>
      <w:contextualSpacing w:val="0"/>
      <w:jc w:val="left"/>
    </w:pPr>
    <w:rPr>
      <w:sz w:val="18"/>
      <w:szCs w:val="18"/>
    </w:rPr>
  </w:style>
  <w:style w:type="paragraph" w:customStyle="1" w:styleId="heading1">
    <w:name w:val="heading1"/>
    <w:basedOn w:val="1"/>
    <w:qFormat/>
    <w:pPr>
      <w:keepNext/>
      <w:keepLines/>
      <w:suppressAutoHyphens/>
      <w:spacing w:before="360" w:after="240" w:line="300" w:lineRule="atLeast"/>
      <w:ind w:left="567" w:hanging="567"/>
      <w:jc w:val="left"/>
      <w:outlineLvl w:val="0"/>
    </w:pPr>
    <w:rPr>
      <w:b/>
      <w:sz w:val="24"/>
      <w:szCs w:val="24"/>
    </w:rPr>
  </w:style>
  <w:style w:type="paragraph" w:customStyle="1" w:styleId="heading2">
    <w:name w:val="heading2"/>
    <w:basedOn w:val="1"/>
    <w:qFormat/>
    <w:pPr>
      <w:keepNext/>
      <w:keepLines/>
      <w:suppressAutoHyphens/>
      <w:spacing w:before="360" w:after="160"/>
      <w:ind w:left="567" w:hanging="567"/>
      <w:jc w:val="left"/>
      <w:outlineLvl w:val="1"/>
    </w:pPr>
    <w:rPr>
      <w:b/>
      <w:sz w:val="20"/>
      <w:szCs w:val="20"/>
    </w:rPr>
  </w:style>
  <w:style w:type="paragraph" w:customStyle="1" w:styleId="bulletitem">
    <w:name w:val="bulletitem"/>
    <w:basedOn w:val="1"/>
    <w:qFormat/>
    <w:pPr>
      <w:spacing w:before="160" w:after="160"/>
      <w:contextualSpacing/>
    </w:pPr>
    <w:rPr/>
  </w:style>
  <w:style w:type="paragraph" w:customStyle="1" w:styleId="numitem">
    <w:name w:val="numitem"/>
    <w:basedOn w:val="1"/>
    <w:qFormat/>
    <w:pPr>
      <w:numPr>
        <w:numId w:val="4"/>
      </w:numPr>
      <w:spacing w:before="160" w:after="160"/>
      <w:contextualSpacing/>
    </w:pPr>
    <w:rPr/>
  </w:style>
  <w:style w:type="paragraph" w:customStyle="1" w:styleId="tablecaption">
    <w:name w:val="tablecaption"/>
    <w:basedOn w:val="1"/>
    <w:qFormat/>
    <w:pPr>
      <w:keepNext/>
      <w:keepLines/>
      <w:spacing w:before="240" w:after="120" w:line="220" w:lineRule="atLeast"/>
      <w:ind w:firstLine="0"/>
      <w:jc w:val="center"/>
    </w:pPr>
    <w:rPr>
      <w:sz w:val="18"/>
      <w:szCs w:val="18"/>
    </w:rPr>
  </w:style>
  <w:style w:type="paragraph" w:customStyle="1" w:styleId="figurecaption">
    <w:name w:val="figurecaption"/>
    <w:basedOn w:val="1"/>
    <w:qFormat/>
    <w:pPr>
      <w:keepLines/>
      <w:spacing w:before="120" w:after="240" w:line="220" w:lineRule="atLeast"/>
      <w:ind w:firstLine="0"/>
      <w:jc w:val="center"/>
    </w:pPr>
    <w:rPr>
      <w:sz w:val="18"/>
      <w:szCs w:val="18"/>
    </w:rPr>
  </w:style>
  <w:style w:type="paragraph" w:customStyle="1" w:styleId="image">
    <w:name w:val="image"/>
    <w:basedOn w:val="1"/>
    <w:qFormat/>
    <w:pPr>
      <w:keepNext/>
      <w:spacing w:before="240" w:after="120"/>
      <w:ind w:firstLine="0"/>
      <w:jc w:val="center"/>
    </w:pP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5D5AA5-7511-4114-AFA9-A5F68C3F3E9A}">
  <ds:schemaRefs/>
</ds:datastoreItem>
</file>

<file path=customXml/itemProps3.xml><?xml version="1.0" encoding="utf-8"?>
<ds:datastoreItem xmlns:ds="http://schemas.openxmlformats.org/officeDocument/2006/customXml" ds:itemID="{CCBB3BCB-2682-4AEE-A908-E1833AA7BE00}">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5060</Words>
  <Characters>28847</Characters>
  <Lines>240</Lines>
  <Paragraphs>67</Paragraphs>
  <TotalTime>78</TotalTime>
  <ScaleCrop>false</ScaleCrop>
  <LinksUpToDate>false</LinksUpToDate>
  <CharactersWithSpaces>33840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2026-09-14T13:21:55Z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