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after="200"/>
        <w:jc w:val="both"/>
        <w:rPr>
          <w:sz w:val="22"/>
          <w:szCs w:val="18"/>
        </w:rPr>
      </w:pPr>
      <w:r>
        <w:rPr>
          <w:sz w:val="28"/>
          <w:szCs w:val="18"/>
        </w:rPr>
        <w:t>HỆ THỐNG LLM CÓ RÀNG BUỘC THEO LUẬT ĐỂ DIỄN GIẢI KẾT QUẢ XÉT NGHIỆM MÁU CHO BỆNH NHÂN VIỆT NAM</w:t>
      </w:r>
    </w:p>
    <w:p>
      <w:pPr>
        <w:spacing w:after="360"/>
        <w:jc w:val="both"/>
      </w:pPr>
      <w:r>
        <w:rPr>
          <w:i/>
        </w:rPr>
        <w:t>Trường Đại học Công nghệ TP.HCM (HUTECH)</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567"/>
        <w:jc w:val="both"/>
      </w:pP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spacing w:after="120" w:line="360" w:lineRule="auto"/>
        <w:ind w:firstLine="567"/>
        <w:jc w:val="both"/>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spacing w:after="120" w:line="360" w:lineRule="auto"/>
        <w:ind w:firstLine="567"/>
        <w:jc w:val="both"/>
      </w:pPr>
      <w:r>
        <w:rPr/>
        <w:t>Từ khóa: năng lực hiểu biết về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567"/>
        <w:jc w:val="both"/>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spacing w:after="120" w:line="360" w:lineRule="auto"/>
        <w:ind w:firstLine="567"/>
        <w:jc w:val="both"/>
      </w:pPr>
      <w:r>
        <w:rPr>
          <w:rFonts w:ascii="Times New Roman" w:hAnsi="Times New Roman"/>
          <w:sz w:val="26"/>
        </w:rPr>
        <w:t xml:space="preserve">Việc bệnh nhân bị bỏ mặc tự xoay xở với khoảng cách này đã được ghi nhận bằng số liệu. Theo nghiên cứu của Giardina và cộng sự </w:t>
      </w:r>
      <w:fldSimple w:instr=" CITATION Gia18 \l 1033 ">
        <w:r>
          <w:rPr>
            <w:rFonts w:ascii="Times New Roman" w:hAnsi="Times New Roman" w:cs="Times New Roman"/>
            <w:sz w:val="26"/>
          </w:rPr>
          <w:t xml:space="preserve">[1]</w:t>
        </w:r>
      </w:fldSimple>
      <w:r>
        <w:rPr>
          <w:rFonts w:ascii="Times New Roman" w:hAnsi="Times New Roman"/>
          <w:sz w:val="26"/>
        </w:rP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567"/>
        <w:jc w:val="both"/>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spacing w:after="120" w:line="360" w:lineRule="auto"/>
        <w:ind w:firstLine="567"/>
        <w:jc w:val="both"/>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spacing w:after="120" w:line="360" w:lineRule="auto"/>
        <w:ind w:firstLine="567"/>
        <w:jc w:val="both"/>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rPr/>
        <w:t>Quy trình 4 tầng,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rP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29"/>
        <w:spacing w:after="120" w:line="360" w:lineRule="auto"/>
        <w:jc w:val="both"/>
      </w:pPr>
      <w:r>
        <w:rP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rPr/>
        <w:t>Ghi nhận vấn đề đơn vị không đồng nhất giữa các phòng xét nghiệm Việt Nam, gây phân loại sai nghiêm trọng ngay trong tầng luật nếu không được chuẩn hóa rõ ràng.</w:t>
      </w:r>
    </w:p>
    <w:p>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sử dụng.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commentRangeStart w:id="0"/>
      <w:r>
        <w:rPr>
          <w:rFonts w:ascii="Times New Roman" w:hAnsi="Times New Roman" w:eastAsia="Times New Roman" w:cs="Times New Roman"/>
        </w:rPr>
        <w:t>2.1. Mô hình ngôn ngữ diễn giải kết quả cho bệnh nhân</w:t>
      </w:r>
      <w:commentRangeEnd w:id="0"/>
      <w:r>
        <w:rPr>
          <w:rStyle w:val="36"/>
          <w:rFonts w:ascii="Times New Roman" w:hAnsi="Times New Roman" w:eastAsia="Times New Roman" w:cs="Times New Roman"/>
          <w:b w:val="0"/>
          <w:bCs w:val="0"/>
        </w:rPr>
        <w:commentReference w:id="0"/>
      </w:r>
    </w:p>
    <w:p>
      <w:pPr>
        <w:spacing w:after="120" w:line="360" w:lineRule="auto"/>
        <w:ind w:firstLine="567"/>
        <w:jc w:val="both"/>
      </w:pPr>
      <w:r>
        <w:rPr>
          <w:rFonts w:ascii="Times New Roman" w:hAnsi="Times New Roman"/>
          <w:sz w:val="26"/>
        </w:rPr>
        <w:t>Nghiên cứu gần nhất với bài này đánh giá xem các mô hình phổ thông có trả lời được câu hỏi của bệnh nhân về kết quả xét nghiệm hay không. Theo nghiên cứu của He và cộng sự , tác giả lấy 53 cặp hỏi đáp từ một diễn đàn sức khỏe rồi so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fldSimple w:instr=" CITATION He24 \l 1033 ">
        <w:r>
          <w:rPr>
            <w:rFonts w:ascii="Times New Roman" w:hAnsi="Times New Roman" w:cs="Times New Roman"/>
            <w:sz w:val="26"/>
          </w:rPr>
          <w:t xml:space="preserve">[2]</w:t>
        </w:r>
      </w:fldSimple>
      <w:fldSimple w:instr=" CITATION Boz25 \l 1033 ">
        <w:r>
          <w:rPr>
            <w:rFonts w:ascii="Times New Roman" w:hAnsi="Times New Roman" w:cs="Times New Roman"/>
            <w:sz w:val="26"/>
          </w:rPr>
          <w:t xml:space="preserve">[3]</w:t>
        </w:r>
      </w:fldSimple>
      <w:fldSimple w:instr=" CITATION Kia24 \l 1033 ">
        <w:r>
          <w:rPr>
            <w:rFonts w:ascii="Times New Roman" w:hAnsi="Times New Roman" w:cs="Times New Roman"/>
            <w:sz w:val="26"/>
          </w:rPr>
          <w:t xml:space="preserve">[4]</w:t>
        </w:r>
      </w:fldSimple>
    </w:p>
    <w:p>
      <w:pPr>
        <w:spacing w:after="120" w:line="360" w:lineRule="auto"/>
        <w:ind w:firstLine="567"/>
        <w:jc w:val="both"/>
      </w:pPr>
      <w:r>
        <w:rPr>
          <w:rFonts w:ascii="Times New Roman" w:hAnsi="Times New Roman"/>
          <w:sz w:val="26"/>
        </w:rPr>
        <w:t xml:space="preserve">Các đánh giá từ chính giới xét nghiệm y học lại thận trọng hơn nhiều. Theo báo cáo của Cadamuro và cộng sự </w:t>
      </w:r>
      <w:fldSimple w:instr=" CITATION Cad23 \l 1033 ">
        <w:r>
          <w:rPr>
            <w:rFonts w:ascii="Times New Roman" w:hAnsi="Times New Roman" w:cs="Times New Roman"/>
            <w:sz w:val="26"/>
          </w:rPr>
          <w:t xml:space="preserve">[5]</w:t>
        </w:r>
      </w:fldSimple>
      <w:r>
        <w:rPr>
          <w:rFonts w:ascii="Times New Roman" w:hAnsi="Times New Roman"/>
          <w:sz w:val="26"/>
        </w:rP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fldSimple w:instr=" CITATION Mun23 \l 1033 ">
        <w:r>
          <w:rPr>
            <w:rFonts w:ascii="Times New Roman" w:hAnsi="Times New Roman" w:cs="Times New Roman"/>
            <w:sz w:val="26"/>
          </w:rPr>
          <w:t xml:space="preserve">[6]</w:t>
        </w:r>
      </w:fldSimple>
      <w:r>
        <w:rPr>
          <w:rFonts w:ascii="Times New Roman" w:hAnsi="Times New Roman"/>
          <w:sz w:val="26"/>
        </w:rP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567"/>
        <w:jc w:val="both"/>
      </w:pPr>
      <w:r>
        <w:rP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567"/>
        <w:jc w:val="both"/>
      </w:pPr>
      <w:r>
        <w:rPr>
          <w:rFonts w:ascii="Times New Roman" w:hAnsi="Times New Roman"/>
          <w:sz w:val="26"/>
        </w:rPr>
        <w:t xml:space="preserve">Tiền đề rằng bệnh nhân không tự đọc hiểu được phiếu xét nghiệm có cơ sở vững ở Việt Nam. Theo nghiên cứu cắt ngang của Tran và cộng sự </w:t>
      </w:r>
      <w:fldSimple w:instr=" CITATION Tra25 \l 1033 ">
        <w:r>
          <w:rPr>
            <w:rFonts w:ascii="Times New Roman" w:hAnsi="Times New Roman" w:cs="Times New Roman"/>
            <w:sz w:val="26"/>
          </w:rPr>
          <w:t xml:space="preserve">[7]</w:t>
        </w:r>
      </w:fldSimple>
      <w:r>
        <w:rPr>
          <w:rFonts w:ascii="Times New Roman" w:hAnsi="Times New Roman"/>
          <w:sz w:val="26"/>
        </w:rP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fldSimple w:instr=" CITATION Duo20 \l 1033 ">
        <w:r>
          <w:rPr>
            <w:rFonts w:ascii="Times New Roman" w:hAnsi="Times New Roman" w:cs="Times New Roman"/>
            <w:sz w:val="26"/>
          </w:rPr>
          <w:t xml:space="preserve">[8]</w:t>
        </w:r>
      </w:fldSimple>
      <w:r>
        <w:rPr>
          <w:rFonts w:ascii="Times New Roman" w:hAnsi="Times New Roman"/>
          <w:sz w:val="26"/>
        </w:rPr>
        <w:t xml:space="preserve"> cho kết quả tương tự, còn Dinh và Bonner </w:t>
      </w:r>
      <w:fldSimple w:instr=" CITATION Din25 \l 1033 ">
        <w:r>
          <w:rPr>
            <w:rFonts w:ascii="Times New Roman" w:hAnsi="Times New Roman" w:cs="Times New Roman"/>
            <w:sz w:val="26"/>
          </w:rPr>
          <w:t xml:space="preserve">[9]</w:t>
        </w:r>
      </w:fldSimple>
      <w:r>
        <w:rPr>
          <w:rFonts w:ascii="Times New Roman" w:hAnsi="Times New Roman"/>
          <w:sz w:val="26"/>
        </w:rPr>
        <w:t xml:space="preserve"> kiểm định thang đo năng lực hiểu biết sức khỏe trên nhóm người bệnh mạn tính và xác nhận thang đo này dùng được trong bối cảnh Việt Nam.</w:t>
      </w:r>
    </w:p>
    <w:p>
      <w:pPr>
        <w:spacing w:after="120" w:line="360" w:lineRule="auto"/>
        <w:ind w:firstLine="567"/>
        <w:jc w:val="both"/>
      </w:pPr>
      <w:r>
        <w:rPr>
          <w:rFonts w:ascii="Times New Roman" w:hAnsi="Times New Roman"/>
          <w:sz w:val="26"/>
        </w:rPr>
        <w:t xml:space="preserve">Theo khảo sát quy mô quốc gia của Nguyen và cộng sự </w:t>
      </w:r>
      <w:fldSimple w:instr=" CITATION Ngu26 \l 1033 ">
        <w:r>
          <w:rPr>
            <w:rFonts w:ascii="Times New Roman" w:hAnsi="Times New Roman" w:cs="Times New Roman"/>
            <w:sz w:val="26"/>
          </w:rPr>
          <w:t xml:space="preserve">[10]</w:t>
        </w:r>
      </w:fldSimple>
      <w:r>
        <w:rPr>
          <w:rFonts w:ascii="Times New Roman" w:hAnsi="Times New Roman"/>
          <w:sz w:val="26"/>
        </w:rPr>
        <w:t xml:space="preserve">,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567"/>
        <w:jc w:val="both"/>
      </w:pPr>
      <w:r>
        <w:rPr>
          <w:rFonts w:ascii="Times New Roman" w:hAnsi="Times New Roman"/>
          <w:sz w:val="26"/>
        </w:rPr>
        <w:t xml:space="preserve">Theo nghiên cứu của Geng và cộng sự </w:t>
      </w:r>
      <w:fldSimple w:instr=" CITATION Gen23 \l 1033 ">
        <w:r>
          <w:rPr>
            <w:rFonts w:ascii="Times New Roman" w:hAnsi="Times New Roman" w:cs="Times New Roman"/>
            <w:sz w:val="26"/>
          </w:rPr>
          <w:t xml:space="preserve">[11]</w:t>
        </w:r>
      </w:fldSimple>
      <w:r>
        <w:rPr>
          <w:rFonts w:ascii="Times New Roman" w:hAnsi="Times New Roman"/>
          <w:sz w:val="26"/>
        </w:rPr>
        <w:t xml:space="preserve">,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fldSimple w:instr=" CITATION Wil23 \l 1033 ">
        <w:r>
          <w:rPr>
            <w:rFonts w:ascii="Times New Roman" w:hAnsi="Times New Roman" w:cs="Times New Roman"/>
            <w:sz w:val="26"/>
          </w:rPr>
          <w:t xml:space="preserve">[12]</w:t>
        </w:r>
      </w:fldSimple>
      <w:r>
        <w:rPr>
          <w:rFonts w:ascii="Times New Roman" w:hAnsi="Times New Roman"/>
          <w:sz w:val="26"/>
        </w:rPr>
        <w:t xml:space="preserve"> đưa ý tưởng này thành thư viện sinh có dẫn hướng, biến ràng buộc thành một máy trạng thái hữu hạn nên chi phí thêm gần như không đáng kể; nhờ vậy sinh văn bản theo schema nay đã là giao diện chuẩn để lấy đầu ra máy đọc được. Theo hướng gần hơn với nội dung, Choi và cộng sự </w:t>
      </w:r>
      <w:fldSimple w:instr=" CITATION Cho23 \l 1033 ">
        <w:r>
          <w:rPr>
            <w:rFonts w:ascii="Times New Roman" w:hAnsi="Times New Roman" w:cs="Times New Roman"/>
            <w:sz w:val="26"/>
          </w:rPr>
          <w:t xml:space="preserve">[13]</w:t>
        </w:r>
      </w:fldSimple>
      <w:r>
        <w:rPr>
          <w:rFonts w:ascii="Times New Roman" w:hAnsi="Times New Roman"/>
          <w:sz w:val="26"/>
        </w:rPr>
        <w:t xml:space="preserve"> kết hợp tìm kiếm cây với một bộ phát hiện ảo giác ở mức token, cho phép loại bỏ những nhánh sinh ra nội dung sai ngay trong lúc giải mã.</w:t>
      </w:r>
    </w:p>
    <w:p>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567"/>
        <w:jc w:val="both"/>
      </w:pPr>
      <w:r>
        <w:rPr>
          <w:rFonts w:ascii="Times New Roman" w:hAnsi="Times New Roman"/>
          <w:sz w:val="26"/>
        </w:rPr>
        <w:t xml:space="preserve">Vấn đề đơn vị không đồng nhất mà chúng tôi gặp phải đã được biết đến ở quy mô lớn hơn. Theo nghiên cứu của Naliyatthaliyazchayil và Stenerson </w:t>
      </w:r>
      <w:fldSimple w:instr=" CITATION Nal26 \l 1033 ">
        <w:r>
          <w:rPr>
            <w:rFonts w:ascii="Times New Roman" w:hAnsi="Times New Roman" w:cs="Times New Roman"/>
            <w:sz w:val="26"/>
          </w:rPr>
          <w:t xml:space="preserve">[14]</w:t>
        </w:r>
      </w:fldSimple>
      <w:r>
        <w:rPr>
          <w:rFonts w:ascii="Times New Roman" w:hAnsi="Times New Roman"/>
          <w:sz w:val="26"/>
        </w:rPr>
        <w:t xml:space="preserve"> trên dữ liệu ung bướu thực tế, nhóm tác giả rà soát quá trình gắn mã LOINC và ghi nhận từ 6% đến 19% xét nghiệm không ánh xạ chính xác được, với đơn vị thiếu hoặc sai nằm trong số các trở ngại lặp lại. Zayed và cộng sự </w:t>
      </w:r>
      <w:fldSimple w:instr=" CITATION Zay25 \l 1033 ">
        <w:r>
          <w:rPr>
            <w:rFonts w:ascii="Times New Roman" w:hAnsi="Times New Roman" w:cs="Times New Roman"/>
            <w:sz w:val="26"/>
          </w:rPr>
          <w:t xml:space="preserve">[15]</w:t>
        </w:r>
      </w:fldSimple>
      <w:r>
        <w:rPr>
          <w:rFonts w:ascii="Times New Roman" w:hAnsi="Times New Roman"/>
          <w:sz w:val="26"/>
        </w:rPr>
        <w:t xml:space="preserve"> phân tích hơn 163 triệu kết quả đã gắn mã LOINC và tìm thấy 2.019 cách viết đơn vị khác nhau; sau khi hài hòa hóa bằng bộ hàm R mã nguồn mở của nhóm, số đơn vị rút xuống còn khoảng 40. Ở phần tự động hóa, Parr và cộng sự </w:t>
      </w:r>
      <w:fldSimple w:instr=" CITATION Par18 \l 1033 ">
        <w:r>
          <w:rPr>
            <w:rFonts w:ascii="Times New Roman" w:hAnsi="Times New Roman" w:cs="Times New Roman"/>
            <w:sz w:val="26"/>
          </w:rPr>
          <w:t xml:space="preserve">[16]</w:t>
        </w:r>
      </w:fldSimple>
      <w:r>
        <w:rPr>
          <w:rFonts w:ascii="Times New Roman" w:hAnsi="Times New Roman"/>
          <w:sz w:val="26"/>
        </w:rPr>
        <w:t xml:space="preserve"> huấn luyện mô hình ánh xạ tên xét nghiệm sang mã LOINC từ nhãn nhiễu của một hệ thống hồ sơ sức khỏe điện tử quốc gia, còn de la Torre </w:t>
      </w:r>
      <w:fldSimple w:instr=" CITATION Tor26 \l 1033 ">
        <w:r>
          <w:rPr>
            <w:rFonts w:ascii="Times New Roman" w:hAnsi="Times New Roman" w:cs="Times New Roman"/>
            <w:sz w:val="26"/>
          </w:rPr>
          <w:t xml:space="preserve">[17]</w:t>
        </w:r>
      </w:fldSimple>
      <w:r>
        <w:rPr>
          <w:rFonts w:ascii="Times New Roman" w:hAnsi="Times New Roman"/>
          <w:sz w:val="26"/>
        </w:rPr>
        <w:t xml:space="preserve"> dùng truy hồi kết hợp xếp hạng lại bằng transformer để hài hòa đơn vị ở quy mô lớn.</w:t>
      </w:r>
    </w:p>
    <w:p>
      <w:pPr>
        <w:spacing w:after="120" w:line="360" w:lineRule="auto"/>
        <w:ind w:firstLine="567"/>
        <w:jc w:val="both"/>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4 tầng của hệ thống.</w:t>
      </w:r>
    </w:p>
    <w:p>
      <w:pPr>
        <w:spacing w:after="120" w:line="360" w:lineRule="auto"/>
        <w:ind w:firstLine="567"/>
        <w:jc w:val="both"/>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đầu ra không khớp sẽ được sinh lại, và nếu vẫn không đạt thì thay bằng bản mẫu cố định.</w:t>
      </w:r>
    </w:p>
    <w:p>
      <w:pPr>
        <w:pStyle w:val="3"/>
        <w:spacing w:after="80" w:line="312" w:lineRule="auto"/>
      </w:pPr>
      <w:r>
        <w:rPr>
          <w:rFonts w:ascii="Times New Roman" w:hAnsi="Times New Roman" w:eastAsia="Times New Roman" w:cs="Times New Roman"/>
        </w:rPr>
        <w:t>Tầng 1 — Chuẩn hóa tên và đơn vị</w:t>
      </w:r>
    </w:p>
    <w:p>
      <w:pPr>
        <w:spacing w:after="120" w:line="360" w:lineRule="auto"/>
        <w:ind w:firstLine="567"/>
        <w:jc w:val="both"/>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spacing w:after="120" w:line="360" w:lineRule="auto"/>
        <w:ind w:firstLine="567"/>
        <w:jc w:val="both"/>
      </w:pPr>
      <w:commentRangeStart w:id="1"/>
      <w:commentRangeEnd w:id="1"/>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130–170) mà không quy đổi, hệ thống sẽ kết luận người này thiếu máu rất nặng và cần đi khám gấp. Cảnh báo giả đó sinh ra ngay bên trong tầng luật, tầng mà cả kiến trúc dựa vào để đảm bảo tính đúng đắn.</w:t>
      </w:r>
    </w:p>
    <w:p>
      <w:pPr>
        <w:spacing w:after="120" w:line="360" w:lineRule="auto"/>
        <w:ind w:firstLine="567"/>
        <w:jc w:val="both"/>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3"/>
        <w:spacing w:after="80" w:line="312" w:lineRule="auto"/>
      </w:pPr>
      <w:r>
        <w:rPr>
          <w:rFonts w:ascii="Times New Roman" w:hAnsi="Times New Roman" w:eastAsia="Times New Roman" w:cs="Times New Roman"/>
        </w:rPr>
        <w:t>Tầng 2 — Phân loại bằng luật</w:t>
      </w:r>
    </w:p>
    <w:p>
      <w:pPr>
        <w:spacing w:after="120" w:line="360" w:lineRule="auto"/>
        <w:ind w:firstLine="567"/>
        <w:jc w:val="both"/>
      </w:pPr>
      <w:r>
        <w:t>Mỗi giá trị đã được chuẩn hóa so với khoảng tham chiếu của nó và được gán một trong 3 nhãn theo Bảng 1.</w:t>
      </w:r>
    </w:p>
    <w:p>
      <w:pPr>
        <w:spacing w:before="160" w:after="120" w:line="360" w:lineRule="auto"/>
        <w:jc w:val="center"/>
      </w:pPr>
      <w:r>
        <w:rPr>
          <w:b/>
        </w:rPr>
        <w:t>Bảng 1. Ba mức nhãn của Tầng 2 và điều kiện gán nhãn.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jc w:val="center"/>
            </w:pPr>
            <w:commentRangeStart w:id="2"/>
            <w:r>
              <w:rPr>
                <w:b/>
                <w:sz w:val="24"/>
              </w:rPr>
              <w:t>Nhãn</w:t>
            </w:r>
          </w:p>
        </w:tc>
        <w:tc>
          <w:tcPr>
            <w:tcW w:w="4535" w:type="dxa"/>
          </w:tcPr>
          <w:p>
            <w:pPr>
              <w:spacing w:before="40" w:after="40" w:line="240" w:lineRule="auto"/>
              <w:jc w:val="center"/>
            </w:pPr>
            <w:r>
              <w:rPr>
                <w:b/>
                <w:sz w:val="24"/>
              </w:rPr>
              <w:t>Điều kiện</w:t>
            </w:r>
            <w:commentRangeEnd w:id="2"/>
            <w:r>
              <w:rPr>
                <w:rStyle w:val="36"/>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567"/>
        <w:jc w:val="both"/>
      </w:pPr>
      <w:r>
        <w:t>Nhãn của cả phiếu là nhãn nghiêm trọng nhất trong các chỉ số.</w:t>
      </w:r>
    </w:p>
    <w:p>
      <w:pPr>
        <w:spacing w:after="120" w:line="360" w:lineRule="auto"/>
        <w:ind w:firstLine="567"/>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567"/>
        <w:jc w:val="both"/>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3"/>
        <w:spacing w:after="80" w:line="312" w:lineRule="auto"/>
      </w:pPr>
      <w:r>
        <w:rPr>
          <w:rFonts w:ascii="Times New Roman" w:hAnsi="Times New Roman" w:eastAsia="Times New Roman" w:cs="Times New Roman"/>
        </w:rPr>
        <w:t>Tầng 3 — Sinh văn bản có ràng buộc</w:t>
      </w:r>
    </w:p>
    <w:p>
      <w:pPr>
        <w:spacing w:after="120" w:line="360" w:lineRule="auto"/>
        <w:ind w:firstLine="567"/>
        <w:jc w:val="both"/>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23"/>
        <w:spacing w:after="120" w:line="360" w:lineRule="auto"/>
        <w:jc w:val="both"/>
      </w:pPr>
      <w:r>
        <w:rPr/>
        <w:t>Ràng buộc đầu vào</w:t>
      </w:r>
      <w:r>
        <w:t xml:space="preserve"> — không để lại cơ hội nào cho việc tự đánh giá: mô hình được cho nhãn, không được yêu cầu suy ra nhãn.</w:t>
      </w:r>
    </w:p>
    <w:p>
      <w:pPr>
        <w:pStyle w:val="23"/>
        <w:spacing w:after="120" w:line="360" w:lineRule="auto"/>
        <w:jc w:val="both"/>
      </w:pPr>
      <w:r>
        <w:rPr/>
        <w:t>Ràng buộc nội dung — cấm gọi tên bệnh, cấm quy nguyên nhân, cấm nhắc đến thuốc, liều lượng hoặc cách điều trị.</w:t>
      </w:r>
    </w:p>
    <w:p>
      <w:pPr>
        <w:pStyle w:val="23"/>
        <w:spacing w:after="120" w:line="360" w:lineRule="auto"/>
        <w:jc w:val="both"/>
      </w:pPr>
      <w:r>
        <w:rPr/>
        <w:t>Ràng buộc đầu ra — bắt buộc theo một schema JSON cố định, nhờ đó mới có thể kiểm tra tự động.</w:t>
      </w:r>
    </w:p>
    <w:p>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3"/>
        <w:spacing w:after="80" w:line="312" w:lineRule="auto"/>
      </w:pPr>
      <w:r>
        <w:rPr>
          <w:rFonts w:ascii="Times New Roman" w:hAnsi="Times New Roman" w:eastAsia="Times New Roman" w:cs="Times New Roman"/>
        </w:rPr>
        <w:t>Tầng 4 — Kiểm chứng sau sinh</w:t>
      </w:r>
    </w:p>
    <w:p>
      <w:pPr>
        <w:spacing w:after="120" w:line="360" w:lineRule="auto"/>
        <w:ind w:firstLine="567"/>
        <w:jc w:val="both"/>
      </w:pPr>
      <w:r>
        <w:t>Bộ kiểm chứng đối chiếu từng mục sinh ra với nhãn của Tầng 2:</w:t>
      </w:r>
    </w:p>
    <w:p>
      <w:pPr>
        <w:pStyle w:val="23"/>
        <w:spacing w:after="120" w:line="360" w:lineRule="auto"/>
        <w:jc w:val="both"/>
      </w:pPr>
      <w:r>
        <w:t>Chiều lệch nêu trong văn bản có khớp với chiều đã gán không</w:t>
      </w:r>
    </w:p>
    <w:p>
      <w:pPr>
        <w:pStyle w:val="23"/>
        <w:spacing w:after="120" w:line="360" w:lineRule="auto"/>
        <w:jc w:val="both"/>
      </w:pPr>
      <w:r>
        <w:t>Có xuất hiện từ khóa cấm không</w:t>
      </w:r>
    </w:p>
    <w:p>
      <w:pPr>
        <w:pStyle w:val="23"/>
        <w:spacing w:after="120" w:line="360" w:lineRule="auto"/>
        <w:jc w:val="both"/>
      </w:pPr>
      <w:r>
        <w:t>Mọi chỉ số đầu vào có được nhắc đến không</w:t>
      </w:r>
    </w:p>
    <w:p>
      <w:pPr>
        <w:pStyle w:val="23"/>
        <w:spacing w:after="120" w:line="360" w:lineRule="auto"/>
        <w:jc w:val="both"/>
      </w:pPr>
      <w:r>
        <w:t>Có chỉ số nào không có trong đầu vào bị đưa thêm vào không</w:t>
      </w:r>
    </w:p>
    <w:p>
      <w:pPr>
        <w:spacing w:after="120" w:line="360" w:lineRule="auto"/>
        <w:ind w:firstLine="567"/>
        <w:jc w:val="both"/>
      </w:pPr>
      <w:r>
        <w:t>Ngoài ra, nó kiểm tra câu kết xem có trấn an sai không, tức là khẳng định mọi kết quả đều bình thường ngay cả khi có một phiếu bất thường.</w:t>
      </w:r>
    </w:p>
    <w:p>
      <w:pPr>
        <w:spacing w:after="120" w:line="360" w:lineRule="auto"/>
        <w:ind w:firstLine="567"/>
        <w:jc w:val="both"/>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spacing w:after="120" w:line="360" w:lineRule="auto"/>
        <w:ind w:firstLine="567"/>
        <w:jc w:val="both"/>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567"/>
        <w:jc w:val="both"/>
      </w:pPr>
      <w:r>
        <w:t>Chúng tôi đánh giá dựa trên 150 phiếu công thức máu tổng hợp thay vì hồ sơ lâm sàng. Dữ liệu tổng hợp ở đây là bắt buộc chứ không chỉ là tiện lợi:</w:t>
      </w:r>
    </w:p>
    <w:p>
      <w:pPr>
        <w:pStyle w:val="23"/>
        <w:spacing w:after="120" w:line="360" w:lineRule="auto"/>
        <w:jc w:val="both"/>
      </w:pPr>
      <w:r>
        <w:t>Đo tính nhất quán đòi hỏi nhãn đúng biết trước, nhưng phiếu thật không kèm theo.</w:t>
      </w:r>
    </w:p>
    <w:p>
      <w:pPr>
        <w:pStyle w:val="23"/>
        <w:spacing w:after="120" w:line="360" w:lineRule="auto"/>
        <w:jc w:val="both"/>
      </w:pPr>
      <w:r>
        <w:t>Nó cho phép thiết kế cân bằng, với các lớp có số lượng ngang nhau, trong khi phiếu thật đa số là bình thường và sẽ tạo ra rất ít ca bất thường để kiểm thử.</w:t>
      </w:r>
    </w:p>
    <w:p>
      <w:pPr>
        <w:pStyle w:val="23"/>
        <w:spacing w:after="120" w:line="360" w:lineRule="auto"/>
        <w:jc w:val="both"/>
      </w:pPr>
      <w:r>
        <w:t>Nó tránh hoàn toàn việc xử lý dữ liệu bệnh nhân.</w:t>
      </w:r>
    </w:p>
    <w:p>
      <w:pPr>
        <w:spacing w:after="120" w:line="360" w:lineRule="auto"/>
        <w:ind w:firstLine="567"/>
        <w:jc w:val="both"/>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3"/>
        <w:spacing w:after="80" w:line="312" w:lineRule="auto"/>
      </w:pPr>
      <w:r>
        <w:rPr>
          <w:rFonts w:ascii="Times New Roman" w:hAnsi="Times New Roman" w:eastAsia="Times New Roman" w:cs="Times New Roman"/>
        </w:rPr>
        <w:t>4.2. 3 cấu hình so sánh</w:t>
      </w:r>
    </w:p>
    <w:p>
      <w:pPr>
        <w:spacing w:after="120" w:line="360" w:lineRule="auto"/>
        <w:ind w:firstLine="567"/>
        <w:jc w:val="both"/>
      </w:pPr>
      <w:r>
        <w:t>3 cấu hình được so sánh trên cùng bộ dữ liệu, được mô tả ở Bảng 2. Mỗi cấu hình bật thêm một phần của kiến trúc, để thấy từng tầng đóng góp gì.</w:t>
      </w:r>
    </w:p>
    <w:p>
      <w:pPr>
        <w:spacing w:before="160" w:after="120" w:line="360" w:lineRule="auto"/>
        <w:jc w:val="center"/>
      </w:pPr>
      <w:r>
        <w:rPr>
          <w:b/>
        </w:rPr>
        <w:t>Bảng 2. 3 cấu hình thực nghiệm.</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commentRangeStart w:id="3"/>
            <w:r>
              <w:rPr>
                <w:b/>
                <w:sz w:val="24"/>
              </w:rPr>
              <w:t>Cấu hình</w:t>
            </w:r>
          </w:p>
        </w:tc>
        <w:tc>
          <w:tcPr>
            <w:tcW w:w="4535" w:type="dxa"/>
          </w:tcPr>
          <w:p>
            <w:pPr>
              <w:spacing w:before="40" w:after="40" w:line="240" w:lineRule="auto"/>
              <w:jc w:val="center"/>
            </w:pPr>
            <w:r>
              <w:rPr>
                <w:b/>
                <w:sz w:val="24"/>
              </w:rPr>
              <w:t>Mô tả</w:t>
            </w:r>
            <w:commentRangeEnd w:id="3"/>
            <w:r>
              <w:rPr>
                <w:rStyle w:val="36"/>
              </w:rP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567"/>
        <w:jc w:val="both"/>
      </w:pPr>
      <w:r>
        <w:t>Mọi chỉ số được tính theo từng phiếu bởi bộ kiểm chứng Tầng 4.</w:t>
      </w:r>
    </w:p>
    <w:p>
      <w:pPr>
        <w:pStyle w:val="23"/>
        <w:spacing w:after="120" w:line="360" w:lineRule="auto"/>
        <w:jc w:val="both"/>
      </w:pPr>
      <w:r>
        <w:rPr/>
        <w:t>Đầu ra an toàn</w:t>
      </w:r>
      <w:r>
        <w:t xml:space="preserve"> — tỷ lệ phiếu có đầu ra cuối cùng qua được kiểm chứng, tính cả phiếu dùng bản mẫu dự phòng.</w:t>
      </w:r>
    </w:p>
    <w:p>
      <w:pPr>
        <w:pStyle w:val="23"/>
        <w:spacing w:after="120" w:line="360" w:lineRule="auto"/>
        <w:jc w:val="both"/>
      </w:pPr>
      <w:r>
        <w:rPr/>
        <w:t>Mô hình tự đạt — chỉ tính phiếu mà chính mô hình sinh ra nội dung đạt yêu cầu.</w:t>
      </w:r>
    </w:p>
    <w:p>
      <w:pPr>
        <w:pStyle w:val="23"/>
        <w:spacing w:after="120" w:line="360" w:lineRule="auto"/>
        <w:jc w:val="both"/>
      </w:pPr>
      <w:r>
        <w:t>Các chỉ số còn lại đếm số phiếu có ít nhất một trường hợp: trấn an sai, sai lệch, dùng thuật ngữ bị cấm, bịa chỉ số, bỏ sót chỉ số.</w:t>
      </w:r>
    </w:p>
    <w:p>
      <w:pPr>
        <w:spacing w:after="120" w:line="360" w:lineRule="auto"/>
        <w:ind w:firstLine="567"/>
        <w:jc w:val="both"/>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Bảng 3. So sánh 3 cấu hình trên 150 phiếu tổng hợp (%). Cột lỗi càng thấp càng tốt.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26"/>
        <w:gridCol w:w="1124"/>
        <w:gridCol w:w="1125"/>
        <w:gridCol w:w="1126"/>
        <w:gridCol w:w="1126"/>
        <w:gridCol w:w="1123"/>
        <w:gridCol w:w="1123"/>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567"/>
        <w:jc w:val="both"/>
      </w:pPr>
      <w:commentRangeStart w:id="4"/>
      <w:commentRangeEnd w:id="4"/>
      <w:r>
        <w:t>Bảng 3 cho thấy một quy luật nhất quán: mọi chỉ số lỗi đều giảm đơn điệu khi đi từ baseline sang constrained rồi sang full, không có chỉ số nào tăng trở lại ở bước sau. Điều này có nghĩa hai cơ chế được thêm vào không xung đột nhau: ràng buộc prompt cắt phần lớn lỗi, còn kiểm chứng bằng máy dọn nốt phần còn lại.</w:t>
      </w:r>
    </w:p>
    <w:p>
      <w:pPr>
        <w:spacing w:after="120" w:line="360" w:lineRule="auto"/>
        <w:ind w:firstLine="567"/>
        <w:jc w:val="both"/>
      </w:pPr>
      <w:commentRangeStart w:id="4"/>
      <w:commentRangeEnd w:id="4"/>
      <w:r>
        <w:t>Mức độ đóng góp của hai cơ chế rất khác nhau. Ràng buộc prompt tạo ra bước nhảy lớn nhất về mặt số lượng: sai chiều lệch giảm từ 91,3% xuống 12,7%, từ cấm từ 79,3% xuống 15,3%, câu chữ mâu thuẫn từ 56,0% xuống 5,3%. Nhưng nó không đưa được chỉ số nào về 0, và tỷ lệ đầu ra an toàn chỉ đạt 48,0%, tức hơn một nửa số phiếu vẫn không dùng được. Kiểm chứng bằng máy mới là bước đưa toàn bộ 6 loại lỗi về 0 và đưa tỷ lệ an toàn lên 100%.</w:t>
      </w:r>
    </w:p>
    <w:p>
      <w:pPr>
        <w:spacing w:after="120" w:line="360" w:lineRule="auto"/>
        <w:ind w:firstLine="567"/>
        <w:jc w:val="both"/>
      </w:pPr>
      <w:commentRangeStart w:id="4"/>
      <w:commentRangeEnd w:id="4"/>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567"/>
        <w:jc w:val="both"/>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3"/>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567"/>
        <w:jc w:val="both"/>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3"/>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567"/>
        <w:jc w:val="both"/>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spacing w:after="120" w:line="360" w:lineRule="auto"/>
        <w:ind w:firstLine="567"/>
        <w:jc w:val="both"/>
      </w:pPr>
      <w:r>
        <w:t>Tỷ lệ mô hình tự đạt ở full là 64,0%, cao hơn 48,0% của constrained, cho thấy cơ chế sinh lại có thể cứu được một phần đáng kể các đầu ra thất bại ở lần đầu.</w:t>
      </w:r>
    </w:p>
    <w:p>
      <w:pPr>
        <w:pStyle w:val="3"/>
        <w:spacing w:after="80" w:line="312" w:lineRule="auto"/>
      </w:pPr>
      <w:r>
        <w:rPr>
          <w:rFonts w:ascii="Times New Roman" w:hAnsi="Times New Roman" w:eastAsia="Times New Roman" w:cs="Times New Roman"/>
        </w:rPr>
        <w:t>Định dạng và chi phí</w:t>
      </w:r>
    </w:p>
    <w:p>
      <w:pPr>
        <w:spacing w:after="120" w:line="360" w:lineRule="auto"/>
        <w:ind w:firstLine="567"/>
        <w:jc w:val="both"/>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567"/>
        <w:jc w:val="both"/>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567"/>
        <w:jc w:val="both"/>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spacing w:after="120" w:line="360" w:lineRule="auto"/>
        <w:ind w:firstLine="567"/>
        <w:jc w:val="both"/>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567"/>
        <w:jc w:val="both"/>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spacing w:after="120" w:line="360" w:lineRule="auto"/>
        <w:ind w:firstLine="567"/>
        <w:jc w:val="both"/>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567"/>
        <w:jc w:val="both"/>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567"/>
        <w:jc w:val="both"/>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567"/>
        <w:jc w:val="both"/>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567"/>
        <w:jc w:val="both"/>
      </w:pPr>
      <w:r>
        <w:rP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spacing w:after="120" w:line="360" w:lineRule="auto"/>
        <w:ind w:firstLine="567"/>
        <w:jc w:val="both"/>
      </w:pPr>
      <w:r>
        <w:rPr/>
        <w:t>Ngưỡng mức độ chưa có căn cứ lâm sàng.</w:t>
      </w:r>
      <w:r>
        <w:t xml:space="preserve">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567"/>
        <w:jc w:val="both"/>
      </w:pPr>
      <w:r>
        <w:rP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spacing w:after="120" w:line="360" w:lineRule="auto"/>
        <w:ind w:firstLine="567"/>
        <w:jc w:val="both"/>
      </w:pPr>
      <w:r>
        <w:rP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567"/>
        <w:jc w:val="both"/>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567"/>
        <w:jc w:val="both"/>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2"/>
        <w:spacing w:after="80" w:line="312" w:lineRule="auto"/>
      </w:pPr>
      <w:r>
        <w:rPr>
          <w:rFonts w:ascii="Times New Roman" w:hAnsi="Times New Roman" w:eastAsia="Times New Roman" w:cs="Times New Roman"/>
        </w:rPr>
        <w:t>9. Hướng phát triển</w:t>
      </w:r>
      <w:commentRangeStart w:id="5"/>
      <w:r>
        <w:rPr>
          <w:rFonts w:ascii="Times New Roman" w:hAnsi="Times New Roman" w:eastAsia="Times New Roman" w:cs="Times New Roman"/>
          <w:strike/>
          <w:color w:val="FF0000"/>
        </w:rPr>
      </w:r>
      <w:commentRangeEnd w:id="5"/>
      <w:r>
        <w:rPr>
          <w:rStyle w:val="36"/>
          <w:rFonts w:ascii="Times New Roman" w:hAnsi="Times New Roman" w:eastAsia="Times New Roman" w:cs="Times New Roman"/>
          <w:b w:val="0"/>
          <w:bCs w:val="0"/>
        </w:rPr>
      </w:r>
    </w:p>
    <w:p>
      <w:pPr>
        <w:spacing w:after="120" w:line="360" w:lineRule="auto"/>
        <w:jc w:val="both"/>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spacing w:after="120" w:line="360" w:lineRule="auto"/>
        <w:jc w:val="both"/>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spacing w:after="120" w:line="360" w:lineRule="auto"/>
        <w:jc w:val="both"/>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pStyle w:val="2"/>
        <w:spacing w:before="280" w:after="120" w:line="312" w:lineRule="auto"/>
      </w:pPr>
      <w:r>
        <w:rPr>
          <w:rFonts w:ascii="Times New Roman" w:hAnsi="Times New Roman" w:eastAsia="Times New Roman" w:cs="Times New Roman"/>
        </w:rPr>
        <w:t>Phụ lục: Đối chiếu thuật ngữ Việt – Anh</w:t>
      </w:r>
    </w:p>
    <w:p>
      <w:pPr>
        <w:spacing w:after="120" w:line="360" w:lineRule="auto"/>
        <w:ind w:firstLine="567"/>
        <w:jc w:val="both"/>
      </w:pPr>
      <w:r>
        <w:t>Bảng 4 đối chiếu các thuật ngữ dùng trong bản tiếng Việt với thuật ngữ tương ứng ở bản tiếng Anh nộp cho hội nghị.</w:t>
      </w:r>
    </w:p>
    <w:p>
      <w:pPr>
        <w:spacing w:before="160" w:after="120" w:line="360" w:lineRule="auto"/>
        <w:jc w:val="center"/>
      </w:pPr>
      <w:r>
        <w:rPr>
          <w:b/>
        </w:rPr>
        <w:t>Bảng 4. Đối chiếu thuật ngữ Việt – Anh.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pStyle w:val="2"/>
        <w:spacing w:before="280" w:after="120"/>
      </w:pPr>
      <w:commentRangeStart w:id="6"/>
      <w:r>
        <w:rPr>
          <w:rFonts w:ascii="Times New Roman" w:hAnsi="Times New Roman" w:eastAsia="Times New Roman" w:cs="Times New Roman"/>
        </w:rPr>
        <w:t>Tài liệu tham khảo</w:t>
      </w:r>
      <w:commentRangeEnd w:id="6"/>
      <w:r>
        <w:rPr>
          <w:rStyle w:val="36"/>
          <w:rFonts w:ascii="Times New Roman" w:hAnsi="Times New Roman" w:eastAsia="Times New Roman" w:cs="Times New Roman"/>
          <w:b w:val="0"/>
          <w:bCs w:val="0"/>
        </w:rPr>
        <w:commentReference w:id="6"/>
      </w:r>
    </w:p>
    <w:sdt>
      <w:sdtPr>
        <w:id w:val="1234567"/>
        <w:docPartObj>
          <w:docPartGallery w:val="Bibliographies"/>
          <w:docPartUnique/>
        </w:docPartObj>
      </w:sdtPr>
      <w:sdtContent>
        <w:p>
          <w:r>
            <w:fldChar w:fldCharType="begin"/>
          </w:r>
          <w:r>
            <w:instrText xml:space="preserve"> BIBLIOGRAPHY \l 1033 </w:instrText>
          </w:r>
          <w:r>
            <w:fldChar w:fldCharType="separate"/>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p>
          <w:r>
            <w:fldChar w:fldCharType="end"/>
          </w:r>
        </w:p>
      </w:sdtContent>
    </w:sdt>
    <w:sectPr>
      <w:pgSz w:w="11906" w:h="16838"/>
      <w:pgMar w:top="1134" w:right="1134" w:bottom="1134"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õ Hoàng Khang" w:date="2026-09-07T22:51:00Z" w:initials="VHK">
    <w:p w14:paraId="44F63036">
      <w:pPr>
        <w:pStyle w:val="16"/>
      </w:pPr>
      <w:r>
        <w:t>Bổ sung TLTK, định dạng theo IEEE. Tìm khoảng 10 TLTK cho phần 2 này.</w:t>
      </w:r>
    </w:p>
  </w:comment>
  <w:comment w:id="1" w:author="Võ Hoàng Khang" w:date="2026-09-07T22:53:00Z" w:initials="VHK">
    <w:p w14:paraId="20AA1A01">
      <w:pPr>
        <w:pStyle w:val="16"/>
      </w:pPr>
      <w:r>
        <w:t>Tối nghĩa</w:t>
      </w:r>
    </w:p>
  </w:comment>
  <w:comment w:id="2" w:author="Võ Hoàng Khang" w:date="2026-09-07T22:55:00Z" w:initials="VHK">
    <w:p w14:paraId="580A7C3E">
      <w:pPr>
        <w:pStyle w:val="16"/>
      </w:pPr>
      <w:r>
        <w:t>Ghi chú thích cho bảng. Vd: Bảng 1. xxx</w:t>
      </w:r>
    </w:p>
  </w:comment>
  <w:comment w:id="3" w:author="Võ Hoàng Khang" w:date="2026-09-07T22:54:00Z" w:initials="VHK">
    <w:p w14:paraId="753E0180">
      <w:pPr>
        <w:pStyle w:val="16"/>
      </w:pPr>
      <w:r>
        <w:t>Ghi chú thích cho bảng. Vd: Bảng 2. xxx</w:t>
      </w:r>
    </w:p>
  </w:comment>
  <w:comment w:id="4" w:author="Võ Hoàng Khang" w:date="2026-09-07T22:56:00Z" w:initials="VHK">
    <w:p w14:paraId="1E33158E">
      <w:pPr>
        <w:pStyle w:val="16"/>
      </w:pPr>
      <w:r>
        <w:t>Giải thích ra thành đoạn văn cho rõ ràng.</w:t>
      </w:r>
    </w:p>
  </w:comment>
  <w:comment w:id="5" w:author="Võ Hoàng Khang" w:date="2026-09-07T22:57:00Z" w:initials="VHK">
    <w:p w14:paraId="663E72F8">
      <w:pPr>
        <w:pStyle w:val="16"/>
      </w:pPr>
      <w:r>
        <w:t>Đem ra sau phần Kết luận</w:t>
      </w:r>
    </w:p>
  </w:comment>
  <w:comment w:id="6" w:author="Võ Hoàng Khang" w:date="2026-09-07T22:58:00Z" w:initials="VHK">
    <w:p w14:paraId="4A1C3E9D">
      <w:pPr>
        <w:pStyle w:val="16"/>
      </w:pPr>
      <w:r>
        <w:t>Làm tự động. Vào References, chọn Manage Sources, khai báo TLTK (nhớ chọn IEEE trước).</w:t>
      </w:r>
    </w:p>
    <w:p w14:paraId="10C42839">
      <w:pPr>
        <w:pStyle w:val="16"/>
      </w:pPr>
      <w:r>
        <w:t>Chỗ này vào Bibliography…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F63036" w15:done="0"/>
  <w15:commentEx w15:paraId="20AA1A01" w15:done="0"/>
  <w15:commentEx w15:paraId="580A7C3E" w15:done="0"/>
  <w15:commentEx w15:paraId="753E0180" w15:done="0"/>
  <w15:commentEx w15:paraId="1E33158E" w15:done="0"/>
  <w15:commentEx w15:paraId="663E72F8" w15:done="0"/>
  <w15:commentEx w15:paraId="10C42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õ Hoàng Khang">
    <w15:presenceInfo w15:providerId="AD" w15:userId="S::khangvh.ncs@ms.uit.edu.vn::590508d2-d2db-4df9-a703-999004505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B22"/>
    <w:rsid w:val="00AA1D8D"/>
    <w:rsid w:val="00B47730"/>
    <w:rsid w:val="00C4044A"/>
    <w:rsid w:val="00CB0664"/>
    <w:rsid w:val="00CC4447"/>
    <w:rsid w:val="00CF0E71"/>
    <w:rsid w:val="00FC693F"/>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0"/>
    <w:semiHidden/>
    <w:unhideWhenUsed/>
    <w:uiPriority w:val="99"/>
    <w:pPr>
      <w:spacing w:after="0" w:line="240" w:lineRule="auto"/>
    </w:pPr>
    <w:rPr>
      <w:rFonts w:ascii="Segoe UI" w:hAnsi="Segoe UI" w:cs="Segoe UI"/>
      <w:sz w:val="18"/>
      <w:szCs w:val="18"/>
    </w:rPr>
  </w:style>
  <w:style w:type="paragraph" w:styleId="12">
    <w:name w:val="Body Text"/>
    <w:basedOn w:val="1"/>
    <w:link w:val="148"/>
    <w:unhideWhenUsed/>
    <w:qFormat/>
    <w:uiPriority w:val="99"/>
    <w:pPr>
      <w:spacing w:after="120"/>
    </w:pPr>
  </w:style>
  <w:style w:type="paragraph" w:styleId="13">
    <w:name w:val="Body Text 2"/>
    <w:basedOn w:val="1"/>
    <w:link w:val="149"/>
    <w:unhideWhenUsed/>
    <w:uiPriority w:val="99"/>
    <w:pPr>
      <w:spacing w:after="120" w:line="480" w:lineRule="auto"/>
    </w:pPr>
  </w:style>
  <w:style w:type="paragraph" w:styleId="14">
    <w:name w:val="Body Text 3"/>
    <w:basedOn w:val="1"/>
    <w:link w:val="150"/>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8"/>
    <w:semiHidden/>
    <w:unhideWhenUsed/>
    <w:uiPriority w:val="99"/>
    <w:pPr>
      <w:spacing w:line="240" w:lineRule="auto"/>
    </w:pPr>
    <w:rPr>
      <w:sz w:val="20"/>
      <w:szCs w:val="20"/>
    </w:rPr>
  </w:style>
  <w:style w:type="paragraph" w:styleId="17">
    <w:name w:val="annotation subject"/>
    <w:basedOn w:val="16"/>
    <w:next w:val="16"/>
    <w:link w:val="169"/>
    <w:semiHidden/>
    <w:unhideWhenUsed/>
    <w:uiPriority w:val="99"/>
    <w:rPr>
      <w:b/>
      <w:b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Strong"/>
    <w:basedOn w:val="35"/>
    <w:qFormat/>
    <w:uiPriority w:val="22"/>
    <w:rPr>
      <w:b/>
      <w:bCs/>
    </w:rPr>
  </w:style>
  <w:style w:type="table" w:styleId="40">
    <w:name w:val="Table Grid"/>
    <w:basedOn w:val="3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9"/>
    <w:uiPriority w:val="99"/>
  </w:style>
  <w:style w:type="character" w:customStyle="1" w:styleId="140">
    <w:name w:val="Footer Char"/>
    <w:basedOn w:val="35"/>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2"/>
    <w:uiPriority w:val="99"/>
  </w:style>
  <w:style w:type="character" w:customStyle="1" w:styleId="149">
    <w:name w:val="Body Text 2 Char"/>
    <w:basedOn w:val="35"/>
    <w:link w:val="13"/>
    <w:uiPriority w:val="99"/>
  </w:style>
  <w:style w:type="character" w:customStyle="1" w:styleId="150">
    <w:name w:val="Body Text 3 Char"/>
    <w:basedOn w:val="35"/>
    <w:link w:val="14"/>
    <w:qFormat/>
    <w:uiPriority w:val="99"/>
    <w:rPr>
      <w:sz w:val="16"/>
      <w:szCs w:val="16"/>
    </w:rPr>
  </w:style>
  <w:style w:type="character" w:customStyle="1" w:styleId="151">
    <w:name w:val="Macro Text Char"/>
    <w:basedOn w:val="35"/>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qFormat/>
    <w:uiPriority w:val="30"/>
    <w:rPr>
      <w:b/>
      <w:bCs/>
      <w:i/>
      <w:iCs/>
      <w:color w:val="4F81BD" w:themeColor="accent1"/>
      <w14:textFill>
        <w14:solidFill>
          <w14:schemeClr w14:val="accent1"/>
        </w14:solidFill>
      </w14:textFill>
    </w:rPr>
  </w:style>
  <w:style w:type="character" w:customStyle="1" w:styleId="162">
    <w:name w:val="Subtle Emphasis"/>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35"/>
    <w:qFormat/>
    <w:uiPriority w:val="21"/>
    <w:rPr>
      <w:b/>
      <w:bCs/>
      <w:i/>
      <w:iCs/>
      <w:color w:val="4F81BD" w:themeColor="accent1"/>
      <w14:textFill>
        <w14:solidFill>
          <w14:schemeClr w14:val="accent1"/>
        </w14:solidFill>
      </w14:textFill>
    </w:rPr>
  </w:style>
  <w:style w:type="character" w:customStyle="1" w:styleId="164">
    <w:name w:val="Subtle Reference"/>
    <w:basedOn w:val="35"/>
    <w:qFormat/>
    <w:uiPriority w:val="31"/>
    <w:rPr>
      <w:smallCaps/>
      <w:color w:val="C0504D" w:themeColor="accent2"/>
      <w:u w:val="single"/>
      <w14:textFill>
        <w14:solidFill>
          <w14:schemeClr w14:val="accent2"/>
        </w14:solidFill>
      </w14:textFill>
    </w:rPr>
  </w:style>
  <w:style w:type="character" w:customStyle="1" w:styleId="165">
    <w:name w:val="Intense Reference"/>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35"/>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69">
    <w:name w:val="Comment Subject Char"/>
    <w:basedOn w:val="168"/>
    <w:link w:val="17"/>
    <w:semiHidden/>
    <w:uiPriority w:val="99"/>
    <w:rPr>
      <w:rFonts w:ascii="Times New Roman" w:hAnsi="Times New Roman" w:eastAsia="Times New Roman" w:cs="Times New Roman"/>
      <w:b/>
      <w:bCs/>
      <w:color w:val="000000"/>
      <w:sz w:val="20"/>
      <w:szCs w:val="20"/>
    </w:rPr>
  </w:style>
  <w:style w:type="character" w:customStyle="1" w:styleId="170">
    <w:name w:val="Balloon Text Char"/>
    <w:basedOn w:val="35"/>
    <w:link w:val="11"/>
    <w:semiHidden/>
    <w:uiPriority w:val="99"/>
    <w:rPr>
      <w:rFonts w:ascii="Segoe UI" w:hAnsi="Segoe UI" w:eastAsia="Times New Roman" w:cs="Segoe U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XSL" StyleName="IEEE">
  <b:Source>
    <b:Tag>Gia18</b:Tag>
    <b:SourceType>JournalArticle</b:SourceType>
    <b:Author>
      <b:Author>
        <b:NameList>
          <b:Person>
            <b:Last>Giardina</b:Last>
            <b:First>T</b:First>
            <b:Middle>D</b:Middle>
          </b:Person>
          <b:Person>
            <b:Last>Baldwin</b:Last>
            <b:First>J</b:First>
          </b:Person>
          <b:Person>
            <b:Last>Nystrom</b:Last>
            <b:First>D</b:First>
            <b:Middle>T</b:Middle>
          </b:Person>
          <b:Person>
            <b:Last>Sittig</b:Last>
            <b:First>D</b:First>
            <b:Middle>F</b:Middle>
          </b:Person>
          <b:Person>
            <b:Last>Singh</b:Last>
            <b:First>H</b:First>
          </b:Person>
        </b:NameList>
      </b:Author>
    </b:Author>
    <b:Title>Patient perceptions of receiving test results via online portals: A mixed-methods study</b:Title>
    <b:JournalName>Journal of the American Medical Informatics Association</b:JournalName>
    <b:Year>2018</b:Year>
    <b:Volume>25</b:Volume>
    <b:Issue>4</b:Issue>
    <b:Pages>440-446</b:Pages>
    <b:RefOrder>1</b:RefOrder>
  </b:Source>
  <b:Source>
    <b:Tag>He24</b:Tag>
    <b:SourceType>JournalArticle</b:SourceType>
    <b:Author>
      <b:Author>
        <b:NameList>
          <b:Person>
            <b:Last>He</b:Last>
            <b:First>Z</b:First>
          </b:Person>
          <b:Person>
            <b:Last>Bhasuran</b:Last>
            <b:First>B</b:First>
          </b:Person>
          <b:Person>
            <b:Last>Jin</b:Last>
            <b:First>Q</b:First>
          </b:Person>
          <b:Person>
            <b:Last>Tian</b:Last>
            <b:First>S</b:First>
          </b:Person>
          <b:Person>
            <b:Last>Hanna</b:Last>
            <b:First>K</b:First>
          </b:Person>
          <b:Person>
            <b:Last>Shavor</b:Last>
            <b:First>C</b:First>
          </b:Person>
          <b:Person>
            <b:Last>Lu</b:Last>
            <b:First>Z</b:First>
          </b:Person>
        </b:NameList>
      </b:Author>
    </b:Author>
    <b:Title>Quality of answers of generative large language models versus peer users for interpreting laboratory test results for lay patients: Evaluation study</b:Title>
    <b:JournalName>Journal of Medical Internet Research</b:JournalName>
    <b:Year>2024</b:Year>
    <b:Volume>26</b:Volume>
    <b:Pages>e56655</b:Pages>
    <b:RefOrder>2</b:RefOrder>
  </b:Source>
  <b:Source>
    <b:Tag>Boz25</b:Tag>
    <b:SourceType>JournalArticle</b:SourceType>
    <b:Author>
      <b:Author>
        <b:NameList>
          <b:Person>
            <b:Last>Bozer</b:Last>
            <b:First>A</b:First>
          </b:Person>
          <b:Person>
            <b:Last>Pekcevik</b:Last>
            <b:First>Y</b:First>
          </b:Person>
        </b:NameList>
      </b:Author>
    </b:Author>
    <b:Title>Comparative evaluation of large language models in explaining radiology reports: Expert assessment of readability, understandability, and communication features</b:Title>
    <b:JournalName>Insights into Imaging</b:JournalName>
    <b:Year>2025</b:Year>
    <b:Volume>16</b:Volume>
    <b:Pages>232</b:Pages>
    <b:RefOrder>3</b:RefOrder>
  </b:Source>
  <b:Source>
    <b:Tag>Kia24</b:Tag>
    <b:SourceType>JournalArticle</b:SourceType>
    <b:Author>
      <b:Author>
        <b:NameList>
          <b:Person>
            <b:Last>Kianian</b:Last>
            <b:First>R</b:First>
          </b:Person>
          <b:Person>
            <b:Last>Sun</b:Last>
            <b:First>D</b:First>
          </b:Person>
          <b:Person>
            <b:Last>Rojas-Carabali</b:Last>
            <b:First>W</b:First>
          </b:Person>
          <b:Person>
            <b:Last>Agrawal</b:Last>
            <b:First>R</b:First>
          </b:Person>
          <b:Person>
            <b:Last>Tsui</b:Last>
            <b:First>E</b:First>
          </b:Person>
        </b:NameList>
      </b:Author>
    </b:Author>
    <b:Title>Large language models may help patients understand peer-reviewed scientific articles about ophthalmology: Development and usability study</b:Title>
    <b:JournalName>Journal of Medical Internet Research</b:JournalName>
    <b:Year>2024</b:Year>
    <b:Volume>26</b:Volume>
    <b:Pages>e59843</b:Pages>
    <b:RefOrder>4</b:RefOrder>
  </b:Source>
  <b:Source>
    <b:Tag>Cad23</b:Tag>
    <b:SourceType>JournalArticle</b:SourceType>
    <b:Author>
      <b:Author>
        <b:NameList>
          <b:Person>
            <b:Last>Cadamuro</b:Last>
            <b:First>J</b:First>
          </b:Person>
          <b:Person>
            <b:Last>Cabitza</b:Last>
            <b:First>F</b:First>
          </b:Person>
          <b:Person>
            <b:Last>Debeljak</b:Last>
            <b:First>Z</b:First>
          </b:Person>
          <b:Person>
            <b:Last>De Bruyne</b:Last>
            <b:First>S</b:First>
          </b:Person>
          <b:Person>
            <b:Last>Frans</b:Last>
            <b:First>G</b:First>
          </b:Person>
          <b:Person>
            <b:Last>Perez</b:Last>
            <b:First>S</b:First>
            <b:Middle>M</b:Middle>
          </b:Person>
        </b:NameList>
      </b:Author>
    </b:Author>
    <b:Title>Potentials and pitfalls of ChatGPT and natural-language artificial intelligence models for the understanding of laboratory medicine test results: An assessment by the European Federation of Clinical Chemistry and Laboratory Medicine (EFLM) Working Group on Artificial Intelligence</b:Title>
    <b:JournalName>Clinical Chemistry and Laboratory Medicine</b:JournalName>
    <b:Year>2023</b:Year>
    <b:Volume>61</b:Volume>
    <b:Issue>7</b:Issue>
    <b:Pages>1158-1166</b:Pages>
    <b:RefOrder>5</b:RefOrder>
  </b:Source>
  <b:Source>
    <b:Tag>Mun23</b:Tag>
    <b:SourceType>JournalArticle</b:SourceType>
    <b:Author>
      <b:Author>
        <b:NameList>
          <b:Person>
            <b:Last>Munoz-Zuluaga</b:Last>
            <b:First>C</b:First>
          </b:Person>
          <b:Person>
            <b:Last>Zhao</b:Last>
            <b:First>Z</b:First>
          </b:Person>
          <b:Person>
            <b:Last>Wang</b:Last>
            <b:First>F</b:First>
          </b:Person>
          <b:Person>
            <b:Last>Greenblatt</b:Last>
            <b:First>M</b:First>
            <b:Middle>B</b:Middle>
          </b:Person>
          <b:Person>
            <b:Last>Yang</b:Last>
            <b:First>H</b:First>
            <b:Middle>S</b:Middle>
          </b:Person>
        </b:NameList>
      </b:Author>
    </b:Author>
    <b:Title>Assessing the accuracy and clinical utility of ChatGPT in laboratory medicine</b:Title>
    <b:JournalName>Clinical Chemistry</b:JournalName>
    <b:Year>2023</b:Year>
    <b:Volume>69</b:Volume>
    <b:Issue>8</b:Issue>
    <b:Pages>939-940</b:Pages>
    <b:RefOrder>6</b:RefOrder>
  </b:Source>
  <b:Source>
    <b:Tag>Tra25</b:Tag>
    <b:SourceType>JournalArticle</b:SourceType>
    <b:Author>
      <b:Author>
        <b:NameList>
          <b:Person>
            <b:Last>Tran</b:Last>
            <b:First>M</b:First>
            <b:Middle>T</b:Middle>
          </b:Person>
          <b:Person>
            <b:Last>Lai</b:Last>
            <b:First>H</b:First>
            <b:Middle>T</b:Middle>
          </b:Person>
          <b:Person>
            <b:Last>Hoang</b:Last>
            <b:First>H</b:First>
            <b:Middle>T</b:Middle>
          </b:Person>
        </b:NameList>
      </b:Author>
    </b:Author>
    <b:Title>Health literacy among older adults: A descriptive cross-sectional analysis in Vietnam</b:Title>
    <b:JournalName>Journal of Health Literacy</b:JournalName>
    <b:Year>2025</b:Year>
    <b:Volume>10</b:Volume>
    <b:Issue>2</b:Issue>
    <b:Pages>91-100</b:Pages>
    <b:RefOrder>7</b:RefOrder>
  </b:Source>
  <b:Source>
    <b:Tag>Duo20</b:Tag>
    <b:SourceType>JournalArticle</b:SourceType>
    <b:Title>Factors associated with health literacy among the elderly people in Vietnam</b:Title>
    <b:JournalName>BioMed Research International</b:JournalName>
    <b:Year>2020</b:Year>
    <b:Volume>2020</b:Volume>
    <b:Pages>3490635</b:Pages>
    <b:RefOrder>8</b:RefOrder>
  </b:Source>
  <b:Source>
    <b:Tag>Din25</b:Tag>
    <b:SourceType>JournalArticle</b:SourceType>
    <b:Author>
      <b:Author>
        <b:NameList>
          <b:Person>
            <b:Last>Dinh</b:Last>
            <b:First>T</b:First>
            <b:Middle>T H</b:Middle>
          </b:Person>
          <b:Person>
            <b:Last>Bonner</b:Last>
            <b:First>A</b:First>
          </b:Person>
        </b:NameList>
      </b:Author>
    </b:Author>
    <b:Title>Psychometric properties of the health literacy questionnaire tested in Vietnamese adults with chronic diseases</b:Title>
    <b:JournalName>BMC Public Health</b:JournalName>
    <b:Year>2025</b:Year>
    <b:Volume>25</b:Volume>
    <b:Pages>44</b:Pages>
    <b:RefOrder>9</b:RefOrder>
  </b:Source>
  <b:Source>
    <b:Tag>Ngu26</b:Tag>
    <b:SourceType>JournalArticle</b:SourceType>
    <b:Author>
      <b:Author>
        <b:NameList>
          <b:Person>
            <b:Last>Nguyen</b:Last>
            <b:First>B</b:First>
            <b:Middle>N</b:Middle>
          </b:Person>
          <b:Person>
            <b:Last>Ngo</b:Last>
            <b:First>T</b:First>
            <b:Middle>T</b:Middle>
          </b:Person>
        </b:NameList>
      </b:Author>
    </b:Author>
    <b:Title>Health and eHealth literacy in Vietnam: Evidence from a national survey</b:Title>
    <b:JournalName>Patient Education and Counseling</b:JournalName>
    <b:Year>2026</b:Year>
    <b:Volume>148</b:Volume>
    <b:Pages>109583</b:Pages>
    <b:RefOrder>10</b:RefOrder>
  </b:Source>
  <b:Source>
    <b:Tag>Gen23</b:Tag>
    <b:SourceType>ConferenceProceedings</b:SourceType>
    <b:Author>
      <b:Author>
        <b:NameList>
          <b:Person>
            <b:Last>Geng</b:Last>
            <b:First>S</b:First>
          </b:Person>
          <b:Person>
            <b:Last>Josifoski</b:Last>
            <b:First>M</b:First>
          </b:Person>
          <b:Person>
            <b:Last>Peyrard</b:Last>
            <b:First>M</b:First>
          </b:Person>
          <b:Person>
            <b:Last>West</b:Last>
            <b:First>R</b:First>
          </b:Person>
        </b:NameList>
      </b:Author>
    </b:Author>
    <b:Title>Grammar-constrained decoding for structured NLP tasks without finetuning</b:Title>
    <b:ConferenceName>Proceedings of the 2023 Conference on Empirical Methods in Natural Language Processing (EMNLP)</b:ConferenceName>
    <b:Year>2023</b:Year>
    <b:RefOrder>11</b:RefOrder>
  </b:Source>
  <b:Source>
    <b:Tag>Wil23</b:Tag>
    <b:SourceType>JournalArticle</b:SourceType>
    <b:Author>
      <b:Author>
        <b:NameList>
          <b:Person>
            <b:Last>Willard</b:Last>
            <b:First>B</b:First>
            <b:Middle>T</b:Middle>
          </b:Person>
          <b:Person>
            <b:Last>Louf</b:Last>
            <b:First>R</b:First>
          </b:Person>
        </b:NameList>
      </b:Author>
    </b:Author>
    <b:Title>Efficient guided generation for large language models</b:Title>
    <b:JournalName>arXiv preprint arXiv:2307.09702</b:JournalName>
    <b:Year>2023</b:Year>
    <b:RefOrder>12</b:RefOrder>
  </b:Source>
  <b:Source>
    <b:Tag>Cho23</b:Tag>
    <b:SourceType>ConferenceProceedings</b:SourceType>
    <b:Author>
      <b:Author>
        <b:NameList>
          <b:Person>
            <b:Last>Choi</b:Last>
            <b:First>S</b:First>
          </b:Person>
          <b:Person>
            <b:Last>Fang</b:Last>
            <b:First>T</b:First>
          </b:Person>
          <b:Person>
            <b:Last>Wang</b:Last>
            <b:First>Z</b:First>
          </b:Person>
          <b:Person>
            <b:Last>Song</b:Last>
            <b:First>Y</b:First>
          </b:Person>
        </b:NameList>
      </b:Author>
    </b:Author>
    <b:Title>KCTS: Knowledge-constrained tree search decoding with token-level hallucination detection</b:Title>
    <b:ConferenceName>Proceedings of the 2023 Conference on Empirical Methods in Natural Language Processing (EMNLP)</b:ConferenceName>
    <b:Year>2023</b:Year>
    <b:RefOrder>13</b:RefOrder>
  </b:Source>
  <b:Source>
    <b:Tag>Nal26</b:Tag>
    <b:SourceType>JournalArticle</b:SourceType>
    <b:Author>
      <b:Author>
        <b:NameList>
          <b:Person>
            <b:Last>Naliyatthaliyazchayil</b:Last>
            <b:First>P</b:First>
          </b:Person>
          <b:Person>
            <b:Last>Stenerson</b:Last>
            <b:First>T</b:First>
          </b:Person>
        </b:NameList>
      </b:Author>
    </b:Author>
    <b:Title>Harmonizing Logical Observation Identifiers Names and Codes (LOINC) codes and units in real-world oncology data: Method development and evaluation</b:Title>
    <b:JournalName>JMIR Medical Informatics</b:JournalName>
    <b:Year>2026</b:Year>
    <b:Volume>14</b:Volume>
    <b:Pages>e81254</b:Pages>
    <b:RefOrder>14</b:RefOrder>
  </b:Source>
  <b:Source>
    <b:Tag>Zay25</b:Tag>
    <b:SourceType>JournalArticle</b:SourceType>
    <b:Author>
      <b:Author>
        <b:NameList>
          <b:Person>
            <b:Last>Zayed</b:Last>
            <b:First>A</b:First>
            <b:Middle>M</b:Middle>
          </b:Person>
          <b:Person>
            <b:Last>Sarikakis</b:Last>
            <b:First>I</b:First>
          </b:Person>
          <b:Person>
            <b:Last>Delvaux</b:Last>
            <b:First>N</b:First>
          </b:Person>
        </b:NameList>
      </b:Author>
    </b:Author>
    <b:Title>Automated standardization and harmonization of laboratory units in large-scale clinical data using open-source R functions</b:Title>
    <b:JournalName>International Journal of Medical Informatics</b:JournalName>
    <b:Year>2025</b:Year>
    <b:Volume>205</b:Volume>
    <b:Pages>106131</b:Pages>
    <b:RefOrder>15</b:RefOrder>
  </b:Source>
  <b:Source>
    <b:Tag>Par18</b:Tag>
    <b:SourceType>JournalArticle</b:SourceType>
    <b:Author>
      <b:Author>
        <b:NameList>
          <b:Person>
            <b:Last>Parr</b:Last>
            <b:First>S</b:First>
            <b:Middle>K</b:Middle>
          </b:Person>
          <b:Person>
            <b:Last>Shotwell</b:Last>
            <b:First>M</b:First>
            <b:Middle>S</b:Middle>
          </b:Person>
          <b:Person>
            <b:Last>Jeffery</b:Last>
            <b:First>A</b:First>
            <b:Middle>D</b:Middle>
          </b:Person>
          <b:Person>
            <b:Last>Lasko</b:Last>
            <b:First>T</b:First>
            <b:Middle>A</b:Middle>
          </b:Person>
          <b:Person>
            <b:Last>Matheny</b:Last>
            <b:First>M</b:First>
            <b:Middle>E</b:Middle>
          </b:Person>
        </b:NameList>
      </b:Author>
    </b:Author>
    <b:Title>Automated mapping of laboratory tests to LOINC codes using noisy labels in a national electronic health record system database</b:Title>
    <b:JournalName>Journal of the American Medical Informatics Association</b:JournalName>
    <b:Year>2018</b:Year>
    <b:Volume>25</b:Volume>
    <b:Issue>10</b:Issue>
    <b:Pages>1292-1300</b:Pages>
    <b:RefOrder>16</b:RefOrder>
  </b:Source>
  <b:Source>
    <b:Tag>Tor26</b:Tag>
    <b:SourceType>JournalArticle</b:SourceType>
    <b:Author>
      <b:Author>
        <b:NameList>
          <b:Person>
            <b:Last>de la Torre</b:Last>
            <b:First>J</b:First>
          </b:Person>
        </b:NameList>
      </b:Author>
    </b:Author>
    <b:Title>Scalable unit harmonization in medical informatics via Bayesian-optimized retrieval and transformer-based re-ranking</b:Title>
    <b:JournalName>International Journal of Medical Informatics</b:JournalName>
    <b:Year>2026</b:Year>
    <b:Volume>206</b:Volume>
    <b:Pages>106180</b:Pages>
    <b:RefOrder>17</b:RefOrder>
  </b:Source>
</b:Sourc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B1A1E4-0D2C-4C6E-9F4B-7A1C3E5D9A21}">
  <ds:schemaRefs>
    <ds:schemaRef ds:uri="http://schemas.openxmlformats.org/officeDocument/2006/bibliography"/>
  </ds:schemaRefs>
</ds:datastoreItem>
</file>

<file path=customXml/itemProps2.xml><?xml version="1.0" encoding="utf-8"?>
<ds:datastoreItem xmlns:ds="http://schemas.openxmlformats.org/officeDocument/2006/customXml" ds:itemID="{6799F4FC-FA7A-45DF-B631-21CE25210097}">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4097</Words>
  <Characters>23354</Characters>
  <Lines>194</Lines>
  <Paragraphs>54</Paragraphs>
  <TotalTime>48</TotalTime>
  <ScaleCrop>false</ScaleCrop>
  <LinksUpToDate>false</LinksUpToDate>
  <CharactersWithSpaces>27397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2026-09-07T17:12:18Z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