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papertitle"/>
      </w:pPr>
      <w:r>
        <w:t>A Rule-Constrained Large Language Model Pipeline for Patient-Friendly Interpretation of Vietnamese Blood Test Results</w:t>
      </w:r>
    </w:p>
    <w:p>
      <w:pPr>
        <w:pStyle w:val="author"/>
      </w:pPr>
      <w:r>
        <w:t>Anonymous Author(s)</w:t>
      </w:r>
    </w:p>
    <w:p>
      <w:pPr>
        <w:pStyle w:val="address"/>
      </w:pPr>
      <w:r>
        <w:t>Anonymous Institution</w:t>
      </w:r>
    </w:p>
    <w:p>
      <w:pPr>
        <w:pStyle w:val="abstract"/>
      </w:pPr>
      <w:r>
        <w:rPr>
          <w:b/>
        </w:rPr>
        <w:t>Abstract.</w:t>
      </w:r>
      <w:r>
        <w:t xml:space="preserve"> Patients in Vietnam routinely receive laboratory reports written in clinical terminology they cannot interpret, and increasingly turn to general-purpose language models for explanations. We show this is unsafe: an unconstrained model asked to explain synthetic complete blood count panels misstated the direction of an analyte in 91.3% of cases and told patients with abnormal results that everything was normal in 32.0% of cases.</w:t>
      </w:r>
    </w:p>
    <w:p>
      <w:pPr>
        <w:pStyle w:val="abstract"/>
      </w:pPr>
      <w:r>
        <w:t>We propose a four-layer pipeline in which all clinical judgement is made by deterministic rules before the language model is invoked; the model only paraphrases pre-assigned labels, and a post-generation validator rejects outputs that contradict them. On 150 synthetic panels, the full pipeline produced no unsafe output, with 64.0% generated by the model and 36.0% falling back to fixed templates. The system runs on CPU without a GPU.</w:t>
      </w:r>
    </w:p>
    <w:p>
      <w:pPr>
        <w:pStyle w:val="keywords"/>
      </w:pPr>
      <w:r>
        <w:rPr>
          <w:b/>
        </w:rPr>
        <w:t>Keywords:</w:t>
      </w:r>
      <w:r>
        <w:t xml:space="preserve"> health literacy, large language models, laboratory results, patient communication, AI safety.</w:t>
      </w:r>
    </w:p>
    <w:p>
      <w:pPr>
        <w:pStyle w:val="heading1"/>
      </w:pPr>
      <w:r>
        <w:t>1</w:t>
      </w:r>
      <w:r>
        <w:tab/>
      </w:r>
      <w:r>
        <w:t>Introduction</w:t>
      </w:r>
    </w:p>
    <w:p>
      <w:pPr>
        <w:pStyle w:val="p1a"/>
      </w:pPr>
      <w:r>
        <w:t>A patient leaving a Vietnamese laboratory receives a printed panel of numbers annotated with terms such as PDW, MCHC, and Monocyte, in units of G/L, fL, and pg. The reference interval is printed beside each value, so a patient can see that a number falls outside it, but not what the analyte measures, whether the deviation matters, or what to do next. The gap between possessing a result and understanding it is what health literacy describes: the ability to access, understand, appraise, and use health information to maintain one's own health.</w:t>
      </w:r>
    </w:p>
    <w:p>
      <w:pPr/>
      <w:r>
        <w:t xml:space="preserve">That patients are left to close this gap alone is documented. In the mixed-methods study by Giardina et al. </w:t>
      </w:r>
      <w:fldSimple w:instr=" CITATION Gia18 \l 1033 ">
        <w:r>
          <w:t>[1]</w:t>
        </w:r>
      </w:fldSimple>
      <w:r>
        <w:t xml:space="preserve"> of 93 patients receiving results through an online portal, nearly two-thirds reported receiving no explanation of their results, and 46% searched online to understand them. Increasingly, that search means photographing the report and asking a general-purpose language model.</w:t>
      </w:r>
    </w:p>
    <w:p>
      <w:pPr/>
      <w:r>
        <w:t>This failure mode is easy to reproduce. Asked in Vietnamese what white blood cells are, the 3B-parameter model used in this study replied that they are lymphocytes, although lymphocytes are only one type of white blood cell rather than a synonym, and then, unprompted, mentioned cancer and immune deficiency. A patient holding an entirely normal result would encounter a definitional error and two alarming diseases in a single short answer.</w:t>
      </w:r>
    </w:p>
    <w:p>
      <w:pPr/>
      <w:r>
        <w:t>The more consequential failure runs in the opposite direction. A model that summarises a panel as normal when it is not does not merely misinform; it removes the reason to seek care. Terminological errors are visible to the reader and invite verification, whereas false reassurance is fluent, comfortable, and acts by suppressing further action. We therefore treat it as a distinct error class and measure it separately.</w:t>
      </w:r>
    </w:p>
    <w:p>
      <w:pPr/>
      <w:r>
        <w:t>Our position is that the task should not be given to the model in the form it usually is. Deciding whether a value is abnormal is arithmetic against a reference interval, which a program does exactly; rendering that determination in plain language is what a language model does well. Separating the two, and verifying the second against the first, removes the failure mode rather than instructing it away.</w:t>
      </w:r>
    </w:p>
    <w:p>
      <w:pPr>
        <w:pStyle w:val="heading2"/>
      </w:pPr>
      <w:r>
        <w:t>Contributions</w:t>
      </w:r>
    </w:p>
    <w:p>
      <w:pPr>
        <w:pStyle w:val="numitem"/>
      </w:pPr>
      <w:r>
        <w:t>A four-layer pipeline in which all clinical judgement is completed by deterministic rules before generation, so the model paraphrases pre-assigned labels rather than deriving them.</w:t>
      </w:r>
    </w:p>
    <w:p>
      <w:pPr>
        <w:pStyle w:val="numitem"/>
      </w:pPr>
      <w:r>
        <w:t>An automated post-generation validator that checks generated text against those labels and falls back to fixed templates when it does not agree, so that no unverified text reaches the reader.</w:t>
      </w:r>
    </w:p>
    <w:p>
      <w:pPr>
        <w:pStyle w:val="numitem"/>
      </w:pPr>
      <w:r>
        <w:t>An evaluation on 150 synthetic complete blood count panels measuring six error classes, including false reassurance, which to our knowledge has not been reported separately in prior work on patient-facing result explanation.</w:t>
      </w:r>
    </w:p>
    <w:p>
      <w:pPr>
        <w:pStyle w:val="numitem"/>
      </w:pPr>
      <w:r>
        <w:t>An observation that unit heterogeneity between Vietnamese laboratories introduces severe misclassification inside the rule layer itself unless explicitly normalised.</w:t>
      </w:r>
    </w:p>
    <w:p>
      <w:pPr>
        <w:pStyle w:val="p1a"/>
      </w:pPr>
      <w:r>
        <w:t>The system runs on commodity CPU hardware without a GPU: laboratory data need not leave the institution, and provincial hospitals need not purchase graphics accelerators to use it.</w:t>
      </w:r>
    </w:p>
    <w:p>
      <w:pPr>
        <w:pStyle w:val="heading1"/>
      </w:pPr>
      <w:r>
        <w:t>2</w:t>
      </w:r>
      <w:r>
        <w:tab/>
      </w:r>
      <w:r>
        <w:t>Related Work</w:t>
      </w:r>
    </w:p>
    <w:p>
      <w:pPr>
        <w:pStyle w:val="heading2"/>
      </w:pPr>
      <w:r>
        <w:t>2.1</w:t>
      </w:r>
      <w:r>
        <w:tab/>
      </w:r>
      <w:r>
        <w:t>Language Models for Patient-Facing Result Explanation</w:t>
      </w:r>
    </w:p>
    <w:p>
      <w:pPr>
        <w:pStyle w:val="p1a"/>
      </w:pPr>
      <w:r>
        <w:t xml:space="preserve">The closest prior work evaluates whether general-purpose models can answer patients' questions about laboratory results. In the study by He et al. </w:t>
      </w:r>
      <w:fldSimple w:instr=" CITATION He24 \l 1033 ">
        <w:r>
          <w:t>[2]</w:t>
        </w:r>
      </w:fldSimple>
      <w:r>
        <w:t xml:space="preserve">, the authors took 53 question–answer pairs from a health forum and compared model responses with answers from peer users, rating relevance, accuracy, helpfulness, and harmfulness; GPT-4 outperformed smaller open-source models. Along the same line, Bozer and Pekçevik </w:t>
      </w:r>
      <w:fldSimple w:instr=" CITATION Boz25 \l 1033 ">
        <w:r>
          <w:t>[3]</w:t>
        </w:r>
      </w:fldSimple>
      <w:r>
        <w:t xml:space="preserve"> had experts assess explanations of radiology reports generated by several models, measuring readability, understandability, uncertainty language, and anxiety-inducing potential. Closer to patients, Kianian et al. </w:t>
      </w:r>
      <w:fldSimple w:instr=" CITATION Kia24 \l 1033 ">
        <w:r>
          <w:t>[4]</w:t>
        </w:r>
      </w:fldSimple>
      <w:r>
        <w:t xml:space="preserve"> used a language model to simplify peer-reviewed ophthalmology articles and found that it lowered their reading level while experts judged the content accurate.</w:t>
      </w:r>
    </w:p>
    <w:p>
      <w:pPr/>
      <w:r>
        <w:t xml:space="preserve">Assessments from within laboratory medicine are far more cautious. In the assessment by Cadamuro et al. </w:t>
      </w:r>
      <w:fldSimple w:instr=" CITATION Cad23 \l 1033 ">
        <w:r>
          <w:t>[5]</w:t>
        </w:r>
      </w:fldSimple>
      <w:r>
        <w:t xml:space="preserve"> on behalf of the Working Group on Artificial Intelligence of the European Federation of Clinical Chemistry and Laboratory Medicine (EFLM), the authors examined such models on questions about laboratory test results and concluded that they may give superficial or incorrect answers and therefore cannot be used for diagnosis. Munoz-Zuluaga et al. </w:t>
      </w:r>
      <w:fldSimple w:instr=" CITATION Mun23 \l 1033 ">
        <w:r>
          <w:t>[6]</w:t>
        </w:r>
      </w:fldSimple>
      <w:r>
        <w:t xml:space="preserve"> posed 30 interpretation questions written by physicians to GPT-4; 46.7% of the answers were correct, 23.3% partially correct, and 30% incorrect or irrelevant. These evaluations concern clinicians as users; the patient-facing case is more exposed, since the reader has less basis for recognising an incorrect answer.</w:t>
      </w:r>
    </w:p>
    <w:p>
      <w:pPr/>
      <w:r>
        <w:t>Research gap. These studies are oriented towards readability and overall accuracy. Harmfulness, where assessed, is one dimension among several rather than decomposed into specific failure modes, and we are not aware of prior work that isolates false reassurance. Moreover, these studies evaluate models used directly, without an intervening mechanism that could stop an unsafe response from reaching the reader. Our contribution is architectural rather than evaluative: the question is not how well a model performs the task, but how to arrange the system so that its failures do not propagate.</w:t>
      </w:r>
    </w:p>
    <w:p>
      <w:pPr>
        <w:pStyle w:val="heading2"/>
      </w:pPr>
      <w:r>
        <w:t>2.2</w:t>
      </w:r>
      <w:r>
        <w:tab/>
      </w:r>
      <w:r>
        <w:t>Health Literacy in Vietnam</w:t>
      </w:r>
    </w:p>
    <w:p>
      <w:pPr>
        <w:pStyle w:val="p1a"/>
      </w:pPr>
      <w:r>
        <w:t xml:space="preserve">The premise that patients cannot interpret their own laboratory reports is well supported in the Vietnamese context. In the cross-sectional study by Tran et al. </w:t>
      </w:r>
      <w:fldSimple w:instr=" CITATION Tra25 \l 1033 ">
        <w:r>
          <w:t>[7]</w:t>
        </w:r>
      </w:fldSimple>
      <w:r>
        <w:t xml:space="preserve"> of 204 older adults in Da Nang, the authors measured health literacy with a standardised questionnaire and found 60.3% with inadequate general health literacy, with urban residents scoring 2.4 times higher than rural ones and educational attainment a strong determinant. An earlier study of older adults in Vietnam </w:t>
      </w:r>
      <w:fldSimple w:instr=" CITATION Duo20 \l 1033 ">
        <w:r>
          <w:t>[8]</w:t>
        </w:r>
      </w:fldSimple>
      <w:r>
        <w:t xml:space="preserve"> reported similar patterns, and Dinh and Bonner </w:t>
      </w:r>
      <w:fldSimple w:instr=" CITATION Din25 \l 1033 ">
        <w:r>
          <w:t>[9]</w:t>
        </w:r>
      </w:fldSimple>
      <w:r>
        <w:t xml:space="preserve"> validated a health literacy questionnaire among adults with chronic diseases, confirming its usability in the Vietnamese context.</w:t>
      </w:r>
    </w:p>
    <w:p>
      <w:pPr/>
      <w:r>
        <w:t xml:space="preserve">In the national survey by Nguyen et al. </w:t>
      </w:r>
      <w:fldSimple w:instr=" CITATION Ngu26 \l 1033 ">
        <w:r>
          <w:t>[10]</w:t>
        </w:r>
      </w:fldSimple>
      <w:r>
        <w:t>, the authors measured both forms of literacy among digitally connected adults and found high eHealth literacy alongside low general health literacy, with online health-seeking behaviour common. Patients are therefore willing and able to consult online tools while being less equipped to evaluate what those tools tell them, which raises rather than lowers the safety requirement on such tools.</w:t>
      </w:r>
    </w:p>
    <w:p>
      <w:pPr>
        <w:pStyle w:val="heading2"/>
      </w:pPr>
      <w:r>
        <w:t>2.3</w:t>
      </w:r>
      <w:r>
        <w:tab/>
      </w:r>
      <w:r>
        <w:t>Constraining and Verifying Model Output</w:t>
      </w:r>
    </w:p>
    <w:p>
      <w:pPr>
        <w:pStyle w:val="p1a"/>
      </w:pPr>
      <w:r>
        <w:t xml:space="preserve">In the study by Geng et al. </w:t>
      </w:r>
      <w:fldSimple w:instr=" CITATION Gen23 \l 1033 ">
        <w:r>
          <w:t>[11]</w:t>
        </w:r>
      </w:fldSimple>
      <w:r>
        <w:t xml:space="preserve">, the authors proposed grammar-constrained decoding: at each generation step, the token distribution is restricted so that only strings conforming to a given grammar can be produced, yielding structurally valid output without finetuning. Willard and Louf </w:t>
      </w:r>
      <w:fldSimple w:instr=" CITATION Wil23 \l 1033 ">
        <w:r>
          <w:t>[12]</w:t>
        </w:r>
      </w:fldSimple>
      <w:r>
        <w:t xml:space="preserve"> implemented this idea as a guided-generation library that recasts the constraint as a finite-state machine, keeping the added overhead negligible; as a result, schema-constrained generation is now a standard interface for machine-readable output. Closer to content, Choi et al. </w:t>
      </w:r>
      <w:fldSimple w:instr=" CITATION Cho23 \l 1033 ">
        <w:r>
          <w:t>[13]</w:t>
        </w:r>
      </w:fldSimple>
      <w:r>
        <w:t xml:space="preserve"> combined tree search with a token-level hallucination detector, allowing branches that generate incorrect content to be pruned during decoding.</w:t>
      </w:r>
    </w:p>
    <w:p>
      <w:pPr/>
      <w:r>
        <w:t>Structural validity, however, does not entail semantic correctness: a response may satisfy a schema exactly while containing values that are wrong for the input. Our Layer 4 operates at this second level. It does not check that the output parses, since the schema constraint already ensures that, but that its content agrees with labels computed independently of the model. This is closer to verification against an external source of truth than to constrained decoding, and the two are complementary: we apply schema constraints at generation time and semantic verification afterwards.</w:t>
      </w:r>
    </w:p>
    <w:p>
      <w:pPr>
        <w:pStyle w:val="heading2"/>
      </w:pPr>
      <w:r>
        <w:t>2.4</w:t>
      </w:r>
      <w:r>
        <w:tab/>
      </w:r>
      <w:r>
        <w:t>Laboratory Data and Unit Standardisation</w:t>
      </w:r>
    </w:p>
    <w:p>
      <w:pPr>
        <w:pStyle w:val="p1a"/>
      </w:pPr>
      <w:r>
        <w:t xml:space="preserve">The unit inconsistency we encountered is known at larger scale. In the study by Naliyatthaliyazchayil and Stenerson </w:t>
      </w:r>
      <w:fldSimple w:instr=" CITATION Nal26 \l 1033 ">
        <w:r>
          <w:t>[14]</w:t>
        </w:r>
      </w:fldSimple>
      <w:r>
        <w:t xml:space="preserve"> on real-world oncology data, the authors examined LOINC mapping and found that between 6% and 19% of laboratory tests could not be mapped accurately, with missing or incorrect units among the recurring obstacles. Zayed et al. </w:t>
      </w:r>
      <w:fldSimple w:instr=" CITATION Zay25 \l 1033 ">
        <w:r>
          <w:t>[15]</w:t>
        </w:r>
      </w:fldSimple>
      <w:r>
        <w:t xml:space="preserve"> analysed over 163 million LOINC-mapped results and identified 2,019 distinct unit expressions, which their open-source R functions harmonised to roughly 40 reference units. On the automation side, Parr et al. </w:t>
      </w:r>
      <w:fldSimple w:instr=" CITATION Par18 \l 1033 ">
        <w:r>
          <w:t>[16]</w:t>
        </w:r>
      </w:fldSimple>
      <w:r>
        <w:t xml:space="preserve"> trained a model that maps laboratory tests to LOINC codes from noisy labels in a national electronic health record database, and de la Torre </w:t>
      </w:r>
      <w:fldSimple w:instr=" CITATION Tor26 \l 1033 ">
        <w:r>
          <w:t>[17]</w:t>
        </w:r>
      </w:fldSimple>
      <w:r>
        <w:t xml:space="preserve"> combined retrieval with transformer-based re-ranking to harmonise units at scale.</w:t>
      </w:r>
    </w:p>
    <w:p>
      <w:pPr/>
      <w:r>
        <w:t>This literature treats unit heterogeneity as an obstacle to data aggregation and secondary analysis. Our observation is that it is also a patient-safety issue in a directly clinical sense. Within our pipeline, comparing an unconverted value against a reference interval expressed in a different unit produced a severe misclassification of a normal result, inside the deterministic layer on which the rest of the architecture relies. The argument for standardisation is usually made in terms of research reuse; we offer a small piece of evidence that it also bears on what patients are told about their own results.</w:t>
      </w:r>
    </w:p>
    <w:p>
      <w:pPr>
        <w:pStyle w:val="heading1"/>
      </w:pPr>
      <w:r>
        <w:t>3</w:t>
      </w:r>
      <w:r>
        <w:tab/>
      </w:r>
      <w:r>
        <w:t>System Design</w:t>
      </w:r>
    </w:p>
    <w:p>
      <w:pPr>
        <w:pStyle w:val="p1a"/>
      </w:pPr>
      <w:r>
        <w:t>The central design principle is that no clinical judgement is delegated to the language model. Whether an analyte is abnormal, and how severely, is decided by deterministic rules before the model is invoked. The model receives values that have already been labelled and is asked only to paraphrase them. A post-generation validator then checks that the generated text is consistent with those labels, and the system falls back to fixed templates when it is not. Fig. 1 below illustrates the four layers of the pipeline.</w:t>
      </w:r>
    </w:p>
    <w:p>
      <w:pPr>
        <w:pStyle w:val="image"/>
      </w:pPr>
      <w:r>
        <w:drawing>
          <wp:inline distT="0" distB="0" distL="0" distR="0">
            <wp:extent cx="4392930" cy="4003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92930" cy="4004205"/>
                    </a:xfrm>
                    <a:prstGeom prst="rect">
                      <a:avLst/>
                    </a:prstGeom>
                  </pic:spPr>
                </pic:pic>
              </a:graphicData>
            </a:graphic>
          </wp:inline>
        </w:drawing>
      </w:r>
    </w:p>
    <w:p>
      <w:pPr>
        <w:pStyle w:val="figurecaption"/>
      </w:pPr>
      <w:r>
        <w:rPr>
          <w:b/>
        </w:rPr>
        <w:t>Fig. 1.</w:t>
      </w:r>
      <w:r>
        <w:t xml:space="preserve"> Four-layer pipeline of the system.</w:t>
      </w:r>
    </w:p>
    <w:p>
      <w:pPr>
        <w:pStyle w:val="p1a"/>
      </w:pPr>
      <w:r>
        <w:t>The order in Fig. 1 reflects the design principle: clinical judgement in Layer 2 is completed before the language model in Layer 3 is invoked, so the model has no opportunity to decide on its own whether a value is normal or abnormal. In the other direction, Layer 4 checks the text generated by the model against the very labels assigned in Layer 2; an output that does not match is regenerated, and if it still fails, it is replaced with a fixed template.</w:t>
      </w:r>
    </w:p>
    <w:p>
      <w:pPr>
        <w:pStyle w:val="heading2"/>
      </w:pPr>
      <w:r>
        <w:t>Layer 1 — Name and Unit Normalisation</w:t>
      </w:r>
    </w:p>
    <w:p>
      <w:pPr>
        <w:pStyle w:val="p1a"/>
      </w:pPr>
      <w:r>
        <w:t>Vietnamese laboratories name the same analyte inconsistently: a white blood cell count may appear as WBC, the Vietnamese abbreviation SLBC, the full Vietnamese phrase, or * WBC. Percentage and absolute counts are distinguished only by a % or # marker, which may precede or follow the name (NEUT% versus % Neu). Layer 1 maps these to canonical codes through an alias dictionary. A naive normalisation that strips all punctuation collapses NEUT% and NEUT# into one key, so the markers are preserved as explicit tokens.</w:t>
      </w:r>
    </w:p>
    <w:p>
      <w:pPr/>
      <w:r>
        <w:t>Unit discrepancies are far more consequential than naming discrepancies. For the same analyte, haemoglobin, some laboratories report in g/L and others in g/dL, a factor of ten apart. As a concrete example, a haemoglobin of 140 g/L, i.e., 14 g/dL, is entirely normal. If the value 14 is compared directly against a reference interval expressed in g/L (about 130–170) without conversion, the system concludes that the person is severely anaemic and needs urgent care. That false alarm arises inside the rule layer itself, the layer on which the whole architecture relies for correctness.</w:t>
      </w:r>
    </w:p>
    <w:p>
      <w:pPr/>
      <w:r>
        <w:t>Layer 1 therefore converts every value to a canonical unit and refuses to process an analyte when the unit is unrecognised, or when the unit is missing and the analyte admits units of differing magnitude. Refused analytes are reported separately and are not counted towards the panel-level label. The system never guesses.</w:t>
      </w:r>
    </w:p>
    <w:p>
      <w:pPr>
        <w:pStyle w:val="heading2"/>
      </w:pPr>
      <w:r>
        <w:t>Layer 2 — Rule-Based Classification</w:t>
      </w:r>
    </w:p>
    <w:p>
      <w:pPr>
        <w:pStyle w:val="p1a"/>
      </w:pPr>
      <w:r>
        <w:t>Each normalised value is compared against its reference interval and assigned one of three labels, as defined in Table 1.</w:t>
      </w:r>
    </w:p>
    <w:p>
      <w:pPr>
        <w:pStyle w:val="tablecaption"/>
      </w:pPr>
      <w:r>
        <w:rPr>
          <w:b/>
        </w:rPr>
        <w:t>Table 1.</w:t>
      </w:r>
      <w:r>
        <w:t xml:space="preserve"> The three labels of Layer 2 and their assignment conditions.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Label</w:t>
            </w:r>
          </w:p>
        </w:tc>
        <w:tc>
          <w:tcPr>
            <w:tcW w:w="3459" w:type="dxa"/>
          </w:tcPr>
          <w:p>
            <w:pPr>
              <w:pStyle w:val="Noidungbang"/>
            </w:pPr>
            <w:r>
              <w:rPr>
                <w:b/>
              </w:rPr>
              <w:t>Condition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Normal</w:t>
            </w:r>
          </w:p>
        </w:tc>
        <w:tc>
          <w:tcPr>
            <w:tcW w:w="3459" w:type="dxa"/>
          </w:tcPr>
          <w:p>
            <w:pPr>
              <w:pStyle w:val="Noidungbang"/>
            </w:pPr>
            <w:r>
              <w:t>Within the 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Monitor</w:t>
            </w:r>
          </w:p>
        </w:tc>
        <w:tc>
          <w:tcPr>
            <w:tcW w:w="3459" w:type="dxa"/>
          </w:tcPr>
          <w:p>
            <w:pPr>
              <w:pStyle w:val="Noidungbang"/>
            </w:pPr>
            <w:r>
              <w:t>Outside the interval but within a configurable severity threshold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Seek care</w:t>
            </w:r>
          </w:p>
        </w:tc>
        <w:tc>
          <w:tcPr>
            <w:tcW w:w="3459" w:type="dxa"/>
          </w:tcPr>
          <w:p>
            <w:pPr>
              <w:pStyle w:val="Noidungbang"/>
            </w:pPr>
            <w:r>
              <w:t>Beyond that threshold</w:t>
            </w:r>
          </w:p>
        </w:tc>
      </w:tr>
    </w:tbl>
    <w:p>
      <w:pPr/>
    </w:p>
    <w:p>
      <w:pPr>
        <w:pStyle w:val="p1a"/>
      </w:pPr>
      <w:r>
        <w:t>The panel-level label is the most severe analyte label.</w:t>
      </w:r>
    </w:p>
    <w:p>
      <w:pPr/>
      <w:r>
        <w:t>This layer contains no learned component. Classification accuracy is therefore a property of the design rather than an experimental result, and the language model has no opportunity to alter it.</w:t>
      </w:r>
    </w:p>
    <w:p>
      <w:pPr/>
      <w:r>
        <w:t>The threshold separating monitor from seek care is defined per analyte as threshold = severity_factor × (high − low), where high and low are the bounds of the reference interval and severity_factor ranges from 0.15 to 0.50 across the 22 analytes used in this study. These coefficients were set heuristically for this study rather than derived from clinical outcome data or any laboratory's critical value list; Section 7 discusses this choice.</w:t>
      </w:r>
    </w:p>
    <w:p>
      <w:pPr>
        <w:pStyle w:val="heading2"/>
      </w:pPr>
      <w:r>
        <w:t>Layer 3 — Constrained Generation</w:t>
      </w:r>
    </w:p>
    <w:p>
      <w:pPr>
        <w:pStyle w:val="p1a"/>
      </w:pPr>
      <w:r>
        <w:t>The prompt supplied to the model contains, for each analyte, the value, the reference interval, the already determined direction and severity label, and a plain-language description of the analyte's function. Three constraints are applied:</w:t>
      </w:r>
    </w:p>
    <w:p>
      <w:pPr>
        <w:pStyle w:val="bulletitem"/>
        <w:numPr>
          <w:ilvl w:val="0"/>
          <w:numId w:val="8"/>
        </w:numPr>
      </w:pPr>
      <w:r>
        <w:t>Input constraint — no opportunity is left for independent assessment: the model is given labels, not asked to derive them.</w:t>
      </w:r>
    </w:p>
    <w:p>
      <w:pPr>
        <w:pStyle w:val="bulletitem"/>
        <w:numPr>
          <w:ilvl w:val="0"/>
          <w:numId w:val="8"/>
        </w:numPr>
      </w:pPr>
      <w:r>
        <w:t>Content constraint — naming diseases, attributing causes, and mentioning medications, dosages, or treatments are forbidden.</w:t>
      </w:r>
    </w:p>
    <w:p>
      <w:pPr>
        <w:pStyle w:val="bulletitem"/>
        <w:numPr>
          <w:ilvl w:val="0"/>
          <w:numId w:val="8"/>
        </w:numPr>
      </w:pPr>
      <w:r>
        <w:t>Output constraint — a fixed JSON schema is required, which makes automated checking possible.</w:t>
      </w:r>
    </w:p>
    <w:p>
      <w:pPr>
        <w:pStyle w:val="p1a"/>
      </w:pPr>
      <w:r>
        <w:t>We use Qwen2.5-3B served locally through Ollama. The model choice is deliberate: laboratory data is sensitive, and a system intended for Vietnamese hospitals should not transmit it to external services. A model small enough to run on commodity CPU hardware removes both the privacy concern and the requirement for GPU investment.</w:t>
      </w:r>
    </w:p>
    <w:p>
      <w:pPr>
        <w:pStyle w:val="heading2"/>
      </w:pPr>
      <w:r>
        <w:t>Layer 4 — Post-Generation Validation</w:t>
      </w:r>
    </w:p>
    <w:p>
      <w:pPr>
        <w:pStyle w:val="p1a"/>
      </w:pPr>
      <w:r>
        <w:t>The validator checks each generated item against the Layer 2 labels:</w:t>
      </w:r>
    </w:p>
    <w:p>
      <w:pPr>
        <w:pStyle w:val="bulletitem"/>
        <w:numPr>
          <w:ilvl w:val="0"/>
          <w:numId w:val="10"/>
        </w:numPr>
      </w:pPr>
      <w:r>
        <w:t>whether the direction stated in the text matches the assigned direction;</w:t>
      </w:r>
    </w:p>
    <w:p>
      <w:pPr>
        <w:pStyle w:val="bulletitem"/>
        <w:numPr>
          <w:ilvl w:val="0"/>
          <w:numId w:val="10"/>
        </w:numPr>
      </w:pPr>
      <w:r>
        <w:t>whether forbidden terms appear;</w:t>
      </w:r>
    </w:p>
    <w:p>
      <w:pPr>
        <w:pStyle w:val="bulletitem"/>
        <w:numPr>
          <w:ilvl w:val="0"/>
          <w:numId w:val="10"/>
        </w:numPr>
      </w:pPr>
      <w:r>
        <w:t>whether every input analyte is covered;</w:t>
      </w:r>
    </w:p>
    <w:p>
      <w:pPr>
        <w:pStyle w:val="bulletitem"/>
        <w:numPr>
          <w:ilvl w:val="0"/>
          <w:numId w:val="10"/>
        </w:numPr>
      </w:pPr>
      <w:r>
        <w:t>whether any analyte not present in the input has been introduced.</w:t>
      </w:r>
    </w:p>
    <w:p>
      <w:pPr>
        <w:pStyle w:val="p1a"/>
      </w:pPr>
      <w:r>
        <w:t>It additionally checks the closing statement for false reassurance, that is, an assertion that all results are normal on a panel that is not.</w:t>
      </w:r>
    </w:p>
    <w:p>
      <w:pPr/>
      <w:r>
        <w:t>Outputs failing validation are regenerated up to a limit, after which the system emits a fixed template stating the value, the reference interval, and the assigned label. The pipeline therefore never returns unverified text.</w:t>
      </w:r>
    </w:p>
    <w:p>
      <w:pPr/>
      <w:r>
        <w:t>Before pattern matching, the generated text is normalised by stripping Vietnamese diacritics and lower-casing it. Phrases that name the reference interval rather than assert a state (e.g., “higher than normal”) are removed when they follow a comparator word, so that the word “normal” inside them is not mistaken for a status claim.</w:t>
      </w:r>
    </w:p>
    <w:p>
      <w:pPr>
        <w:pStyle w:val="heading1"/>
      </w:pPr>
      <w:r>
        <w:t>4</w:t>
      </w:r>
      <w:r>
        <w:tab/>
      </w:r>
      <w:r>
        <w:t>Evaluation</w:t>
      </w:r>
    </w:p>
    <w:p>
      <w:pPr>
        <w:pStyle w:val="heading2"/>
      </w:pPr>
      <w:r>
        <w:t>4.1</w:t>
      </w:r>
      <w:r>
        <w:tab/>
      </w:r>
      <w:r>
        <w:t>Dataset</w:t>
      </w:r>
    </w:p>
    <w:p>
      <w:pPr>
        <w:pStyle w:val="p1a"/>
      </w:pPr>
      <w:r>
        <w:t>We evaluate on 150 synthetic complete blood count panels rather than clinical records. Synthetic data is required here rather than merely convenient:</w:t>
      </w:r>
    </w:p>
    <w:p>
      <w:pPr>
        <w:pStyle w:val="bulletitem"/>
        <w:numPr>
          <w:ilvl w:val="0"/>
          <w:numId w:val="11"/>
        </w:numPr>
      </w:pPr>
      <w:r>
        <w:t>measuring consistency demands known ground-truth labels, which real reports do not carry;</w:t>
      </w:r>
    </w:p>
    <w:p>
      <w:pPr>
        <w:pStyle w:val="bulletitem"/>
        <w:numPr>
          <w:ilvl w:val="0"/>
          <w:numId w:val="11"/>
        </w:numPr>
      </w:pPr>
      <w:r>
        <w:t>it permits a balanced design with equally represented classes, whereas real panels are predominantly normal and would yield few abnormal cases for testing;</w:t>
      </w:r>
    </w:p>
    <w:p>
      <w:pPr>
        <w:pStyle w:val="bulletitem"/>
        <w:numPr>
          <w:ilvl w:val="0"/>
          <w:numId w:val="11"/>
        </w:numPr>
      </w:pPr>
      <w:r>
        <w:t>it avoids handling patient data altogether.</w:t>
      </w:r>
    </w:p>
    <w:p>
      <w:pPr>
        <w:pStyle w:val="p1a"/>
      </w:pPr>
      <w:r>
        <w:t>Each panel contains 10–18 analytes, and panels are divided equally between the normal, monitor, and seek-care classes; they are generated with randomly selected aliases and units so that Layer 1 is genuinely exercised. Rounding is applied as laboratories report it, and any panel whose rounded values no longer match the intended class is discarded and regenerated.</w:t>
      </w:r>
    </w:p>
    <w:p>
      <w:pPr>
        <w:pStyle w:val="heading2"/>
      </w:pPr>
      <w:r>
        <w:t>4.2</w:t>
      </w:r>
      <w:r>
        <w:tab/>
      </w:r>
      <w:r>
        <w:t>Three Configurations</w:t>
      </w:r>
    </w:p>
    <w:p>
      <w:pPr>
        <w:pStyle w:val="p1a"/>
      </w:pPr>
      <w:r>
        <w:t>The three configurations are compared on the same dataset and are described in Table 2. Each configuration enables an additional part of the architecture, showing what each layer contributes.</w:t>
      </w:r>
    </w:p>
    <w:p>
      <w:pPr>
        <w:pStyle w:val="tablecaption"/>
      </w:pPr>
      <w:r>
        <w:rPr>
          <w:b/>
        </w:rPr>
        <w:t>Table 2.</w:t>
      </w:r>
      <w:r>
        <w:t xml:space="preserve"> Experimental configurations.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Configuration</w:t>
            </w:r>
          </w:p>
        </w:tc>
        <w:tc>
          <w:tcPr>
            <w:tcW w:w="3459" w:type="dxa"/>
          </w:tcPr>
          <w:p>
            <w:pPr>
              <w:pStyle w:val="Noidungbang"/>
            </w:pPr>
            <w:r>
              <w:rPr>
                <w:b/>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baseline</w:t>
            </w:r>
          </w:p>
        </w:tc>
        <w:tc>
          <w:tcPr>
            <w:tcW w:w="3459" w:type="dxa"/>
          </w:tcPr>
          <w:p>
            <w:pPr>
              <w:pStyle w:val="Noidungbang"/>
            </w:pPr>
            <w:r>
              <w:t>Raw values and reference intervals are given to the model, which is asked to explain them for a patient. No labels, no constraints, no validation. This approximates current practice when a patient pastes a report into a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constrained</w:t>
            </w:r>
          </w:p>
        </w:tc>
        <w:tc>
          <w:tcPr>
            <w:tcW w:w="3459" w:type="dxa"/>
          </w:tcPr>
          <w:p>
            <w:pPr>
              <w:pStyle w:val="Noidungbang"/>
            </w:pPr>
            <w:r>
              <w:t>Layers 1–3: the model receives pre-assigned labels under the three prompt constraints, but its output is not verified.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full</w:t>
            </w:r>
          </w:p>
        </w:tc>
        <w:tc>
          <w:tcPr>
            <w:tcW w:w="3459" w:type="dxa"/>
          </w:tcPr>
          <w:p>
            <w:pPr>
              <w:pStyle w:val="Noidungbang"/>
            </w:pPr>
            <w:r>
              <w:t>Layers 1–4, including validation, regeneration, and template fallback.</w:t>
            </w:r>
          </w:p>
        </w:tc>
      </w:tr>
    </w:tbl>
    <w:p>
      <w:pPr/>
    </w:p>
    <w:p>
      <w:pPr>
        <w:pStyle w:val="heading2"/>
      </w:pPr>
      <w:r>
        <w:t>4.3</w:t>
      </w:r>
      <w:r>
        <w:tab/>
      </w:r>
      <w:r>
        <w:t>Metrics</w:t>
      </w:r>
    </w:p>
    <w:p>
      <w:pPr>
        <w:pStyle w:val="p1a"/>
      </w:pPr>
      <w:r>
        <w:t>All metrics are computed per panel by the Layer 4 validator.</w:t>
      </w:r>
    </w:p>
    <w:p>
      <w:pPr>
        <w:pStyle w:val="bulletitem"/>
        <w:numPr>
          <w:ilvl w:val="0"/>
          <w:numId w:val="12"/>
        </w:numPr>
      </w:pPr>
      <w:r>
        <w:t>Safe output — the proportion of panels whose final output passes validation, including panels served by the fallback template.</w:t>
      </w:r>
    </w:p>
    <w:p>
      <w:pPr>
        <w:pStyle w:val="bulletitem"/>
        <w:numPr>
          <w:ilvl w:val="0"/>
          <w:numId w:val="12"/>
        </w:numPr>
      </w:pPr>
      <w:r>
        <w:t>Model-generated pass — counts only panels for which the model itself produced acceptable content.</w:t>
      </w:r>
    </w:p>
    <w:p>
      <w:pPr>
        <w:pStyle w:val="bulletitem"/>
        <w:numPr>
          <w:ilvl w:val="0"/>
          <w:numId w:val="12"/>
        </w:numPr>
      </w:pPr>
      <w:r>
        <w:t>The remaining metrics count panels containing at least one instance of false reassurance, direction mismatch, contradictory wording, forbidden terminology, fabricated analytes, or omitted analytes.</w:t>
      </w:r>
    </w:p>
    <w:p>
      <w:pPr>
        <w:pStyle w:val="p1a"/>
      </w:pPr>
      <w:r>
        <w:t>Direction mismatch and contradictory wording are two distinct checks. The first compares the structured status field against the Layer 2 label; the second scans the prose for wording that asserts a different state. A model can fill in the status field correctly yet describe the value incorrectly in prose, and only the second check detects this. All six error classes determine whether an output passes validation.</w:t>
      </w:r>
    </w:p>
    <w:p>
      <w:pPr>
        <w:pStyle w:val="heading1"/>
      </w:pPr>
      <w:r>
        <w:t>5</w:t>
      </w:r>
      <w:r>
        <w:tab/>
      </w:r>
      <w:r>
        <w:t>Results</w:t>
      </w:r>
    </w:p>
    <w:p>
      <w:pPr>
        <w:pStyle w:val="tablecaption"/>
      </w:pPr>
      <w:r>
        <w:rPr>
          <w:b/>
        </w:rPr>
        <w:t>Table 3.</w:t>
      </w:r>
      <w:r>
        <w:t xml:space="preserve"> Comparison of the three configurations on 150 synthetic panels (%). Lower is better for all error columns.</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744"/>
        <w:gridCol w:w="726"/>
        <w:gridCol w:w="740"/>
        <w:gridCol w:w="747"/>
        <w:gridCol w:w="761"/>
        <w:gridCol w:w="715"/>
        <w:gridCol w:w="713"/>
        <w:gridCol w:w="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Configuration</w:t>
            </w:r>
          </w:p>
        </w:tc>
        <w:tc>
          <w:tcPr>
            <w:tcW w:w="844" w:type="dxa"/>
          </w:tcPr>
          <w:p>
            <w:pPr>
              <w:pStyle w:val="Noidungbang"/>
            </w:pPr>
            <w:r>
              <w:rPr>
                <w:b/>
              </w:rPr>
              <w:t>Safe output</w:t>
            </w:r>
          </w:p>
        </w:tc>
        <w:tc>
          <w:tcPr>
            <w:tcW w:w="844" w:type="dxa"/>
          </w:tcPr>
          <w:p>
            <w:pPr>
              <w:pStyle w:val="Noidungbang"/>
            </w:pPr>
            <w:r>
              <w:rPr>
                <w:b/>
              </w:rPr>
              <w:t>Model pass</w:t>
            </w:r>
          </w:p>
        </w:tc>
        <w:tc>
          <w:tcPr>
            <w:tcW w:w="844" w:type="dxa"/>
          </w:tcPr>
          <w:p>
            <w:pPr>
              <w:pStyle w:val="Noidungbang"/>
            </w:pPr>
            <w:r>
              <w:rPr>
                <w:b/>
              </w:rPr>
              <w:t>False reassur.</w:t>
            </w:r>
          </w:p>
        </w:tc>
        <w:tc>
          <w:tcPr>
            <w:tcW w:w="844" w:type="dxa"/>
          </w:tcPr>
          <w:p>
            <w:pPr>
              <w:pStyle w:val="Noidungbang"/>
            </w:pPr>
            <w:r>
              <w:rPr>
                <w:b/>
              </w:rPr>
              <w:t>Direction mismatch</w:t>
            </w:r>
          </w:p>
        </w:tc>
        <w:tc>
          <w:tcPr>
            <w:tcW w:w="844" w:type="dxa"/>
          </w:tcPr>
          <w:p>
            <w:pPr>
              <w:pStyle w:val="Noidungbang"/>
            </w:pPr>
            <w:r>
              <w:rPr>
                <w:b/>
              </w:rPr>
              <w:t>Contra. wording</w:t>
            </w:r>
          </w:p>
        </w:tc>
        <w:tc>
          <w:tcPr>
            <w:tcW w:w="844" w:type="dxa"/>
          </w:tcPr>
          <w:p>
            <w:pPr>
              <w:pStyle w:val="Noidungbang"/>
            </w:pPr>
            <w:r>
              <w:rPr>
                <w:b/>
              </w:rPr>
              <w:t>Forbidden terms</w:t>
            </w:r>
          </w:p>
        </w:tc>
        <w:tc>
          <w:tcPr>
            <w:tcW w:w="844" w:type="dxa"/>
          </w:tcPr>
          <w:p>
            <w:pPr>
              <w:pStyle w:val="Noidungbang"/>
            </w:pPr>
            <w:r>
              <w:rPr>
                <w:b/>
              </w:rPr>
              <w:t>Fabricated analytes</w:t>
            </w:r>
          </w:p>
        </w:tc>
        <w:tc>
          <w:tcPr>
            <w:tcW w:w="844" w:type="dxa"/>
          </w:tcPr>
          <w:p>
            <w:pPr>
              <w:pStyle w:val="Noidungbang"/>
            </w:pPr>
            <w:r>
              <w:rPr>
                <w:b/>
              </w:rPr>
              <w:t>Omitted analytes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baseline</w:t>
            </w:r>
          </w:p>
        </w:tc>
        <w:tc>
          <w:tcPr>
            <w:tcW w:w="844" w:type="dxa"/>
          </w:tcPr>
          <w:p>
            <w:pPr>
              <w:pStyle w:val="Noidungbang"/>
            </w:pPr>
            <w:r>
              <w:t>0.0</w:t>
            </w:r>
          </w:p>
        </w:tc>
        <w:tc>
          <w:tcPr>
            <w:tcW w:w="844" w:type="dxa"/>
          </w:tcPr>
          <w:p>
            <w:pPr>
              <w:pStyle w:val="Noidungbang"/>
            </w:pPr>
            <w:r>
              <w:t>0.0</w:t>
            </w:r>
          </w:p>
        </w:tc>
        <w:tc>
          <w:tcPr>
            <w:tcW w:w="844" w:type="dxa"/>
          </w:tcPr>
          <w:p>
            <w:pPr>
              <w:pStyle w:val="Noidungbang"/>
            </w:pPr>
            <w:r>
              <w:t>32.0</w:t>
            </w:r>
          </w:p>
        </w:tc>
        <w:tc>
          <w:tcPr>
            <w:tcW w:w="844" w:type="dxa"/>
          </w:tcPr>
          <w:p>
            <w:pPr>
              <w:pStyle w:val="Noidungbang"/>
            </w:pPr>
            <w:r>
              <w:t>91.3</w:t>
            </w:r>
          </w:p>
        </w:tc>
        <w:tc>
          <w:tcPr>
            <w:tcW w:w="844" w:type="dxa"/>
          </w:tcPr>
          <w:p>
            <w:pPr>
              <w:pStyle w:val="Noidungbang"/>
            </w:pPr>
            <w:r>
              <w:t>56.0</w:t>
            </w:r>
          </w:p>
        </w:tc>
        <w:tc>
          <w:tcPr>
            <w:tcW w:w="844" w:type="dxa"/>
          </w:tcPr>
          <w:p>
            <w:pPr>
              <w:pStyle w:val="Noidungbang"/>
            </w:pPr>
            <w:r>
              <w:t>79.3</w:t>
            </w:r>
          </w:p>
        </w:tc>
        <w:tc>
          <w:tcPr>
            <w:tcW w:w="844" w:type="dxa"/>
          </w:tcPr>
          <w:p>
            <w:pPr>
              <w:pStyle w:val="Noidungbang"/>
            </w:pPr>
            <w:r>
              <w:t>32.0</w:t>
            </w:r>
          </w:p>
        </w:tc>
        <w:tc>
          <w:tcPr>
            <w:tcW w:w="844" w:type="dxa"/>
          </w:tcPr>
          <w:p>
            <w:pPr>
              <w:pStyle w:val="Noidungbang"/>
            </w:pPr>
            <w: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constrained</w:t>
            </w:r>
          </w:p>
        </w:tc>
        <w:tc>
          <w:tcPr>
            <w:tcW w:w="844" w:type="dxa"/>
          </w:tcPr>
          <w:p>
            <w:pPr>
              <w:pStyle w:val="Noidungbang"/>
            </w:pPr>
            <w:r>
              <w:t>48.0</w:t>
            </w:r>
          </w:p>
        </w:tc>
        <w:tc>
          <w:tcPr>
            <w:tcW w:w="844" w:type="dxa"/>
          </w:tcPr>
          <w:p>
            <w:pPr>
              <w:pStyle w:val="Noidungbang"/>
            </w:pPr>
            <w:r>
              <w:t>48.0</w:t>
            </w:r>
          </w:p>
        </w:tc>
        <w:tc>
          <w:tcPr>
            <w:tcW w:w="844" w:type="dxa"/>
          </w:tcPr>
          <w:p>
            <w:pPr>
              <w:pStyle w:val="Noidungbang"/>
            </w:pPr>
            <w:r>
              <w:t>8.0</w:t>
            </w:r>
          </w:p>
        </w:tc>
        <w:tc>
          <w:tcPr>
            <w:tcW w:w="844" w:type="dxa"/>
          </w:tcPr>
          <w:p>
            <w:pPr>
              <w:pStyle w:val="Noidungbang"/>
            </w:pPr>
            <w:r>
              <w:t>12.7</w:t>
            </w:r>
          </w:p>
        </w:tc>
        <w:tc>
          <w:tcPr>
            <w:tcW w:w="844" w:type="dxa"/>
          </w:tcPr>
          <w:p>
            <w:pPr>
              <w:pStyle w:val="Noidungbang"/>
            </w:pPr>
            <w:r>
              <w:t>5.3</w:t>
            </w:r>
          </w:p>
        </w:tc>
        <w:tc>
          <w:tcPr>
            <w:tcW w:w="844" w:type="dxa"/>
          </w:tcPr>
          <w:p>
            <w:pPr>
              <w:pStyle w:val="Noidungbang"/>
            </w:pPr>
            <w:r>
              <w:t>15.3</w:t>
            </w:r>
          </w:p>
        </w:tc>
        <w:tc>
          <w:tcPr>
            <w:tcW w:w="844" w:type="dxa"/>
          </w:tcPr>
          <w:p>
            <w:pPr>
              <w:pStyle w:val="Noidungbang"/>
            </w:pPr>
            <w:r>
              <w:t>10.0</w:t>
            </w:r>
          </w:p>
        </w:tc>
        <w:tc>
          <w:tcPr>
            <w:tcW w:w="844" w:type="dxa"/>
          </w:tcPr>
          <w:p>
            <w:pPr>
              <w:pStyle w:val="Noidungbang"/>
            </w:pPr>
            <w: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full</w:t>
            </w:r>
          </w:p>
        </w:tc>
        <w:tc>
          <w:tcPr>
            <w:tcW w:w="844" w:type="dxa"/>
          </w:tcPr>
          <w:p>
            <w:pPr>
              <w:pStyle w:val="Noidungbang"/>
            </w:pPr>
            <w:r>
              <w:rPr>
                <w:b/>
              </w:rPr>
              <w:t>100.0</w:t>
            </w:r>
          </w:p>
        </w:tc>
        <w:tc>
          <w:tcPr>
            <w:tcW w:w="844" w:type="dxa"/>
          </w:tcPr>
          <w:p>
            <w:pPr>
              <w:pStyle w:val="Noidungbang"/>
            </w:pPr>
            <w:r>
              <w:t>64.0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r>
    </w:tbl>
    <w:p>
      <w:pPr/>
    </w:p>
    <w:p>
      <w:pPr>
        <w:pStyle w:val="p1a"/>
      </w:pPr>
      <w:r>
        <w:t>Table 3 shows a consistent pattern: every error metric decreases monotonically from baseline to constrained to full, and no metric rises again at a later step. The two added mechanisms therefore do not conflict: prompt constraints remove most errors, and mechanical validation removes the remainder.</w:t>
      </w:r>
    </w:p>
    <w:p>
      <w:pPr/>
      <w:r>
        <w:t>The two mechanisms contribute very differently. Prompt constraints produce the largest quantitative drop: direction mismatch falls from 91.3% to 12.7%, forbidden terminology from 79.3% to 15.3%, and contradictory wording from 56.0% to 5.3%. They do not, however, bring any metric to zero, and the safe-output rate reaches only 48.0%, meaning that more than half of the panels remain unusable. Mechanical validation is the step that brings all six error classes to zero and the safe-output rate to 100%.</w:t>
      </w:r>
    </w:p>
    <w:p>
      <w:pPr/>
      <w:r>
        <w:t>This 100% must be read correctly: it is the rate of final outputs that pass, of which 64.0% were written by the model itself and the remaining 36.0% are fixed templates substituted after regeneration still failed. In other words, it is a property of the pipeline, not evidence that a 3B model writes correctly in every case.</w:t>
      </w:r>
    </w:p>
    <w:p>
      <w:pPr>
        <w:pStyle w:val="heading2"/>
      </w:pPr>
      <w:r>
        <w:t>Unconstrained Generation Is Unsafe</w:t>
      </w:r>
    </w:p>
    <w:p>
      <w:pPr>
        <w:pStyle w:val="p1a"/>
      </w:pPr>
      <w:r>
        <w:t>The baseline configuration produced no acceptable output on any of the 150 panels. It misstated the direction of at least one analyte in 91.3% of panels and used forbidden clinical terminology in 79.3% of panels. On panels containing abnormal results, it asserted that all results were normal in 32.0% of cases: roughly one patient in three would have been told, incorrectly, that nothing required attention.</w:t>
      </w:r>
    </w:p>
    <w:p>
      <w:pPr>
        <w:pStyle w:val="heading2"/>
      </w:pPr>
      <w:r>
        <w:t>Prompt Constraints Help but Are Insufficient</w:t>
      </w:r>
    </w:p>
    <w:p>
      <w:pPr>
        <w:pStyle w:val="p1a"/>
      </w:pPr>
      <w:r>
        <w:t>Supplying pre-assigned labels reduced direction mismatch from 91.3% to 12.7% and false reassurance from 32.0% to 8.0%. Nonetheless, 52.0% of constrained outputs still failed validation. Instruction alone does not guarantee compliance, which is why a mechanical verification step is needed.</w:t>
      </w:r>
    </w:p>
    <w:p>
      <w:pPr>
        <w:pStyle w:val="heading2"/>
      </w:pPr>
      <w:r>
        <w:t>Validation Eliminates Unsafe Output</w:t>
      </w:r>
    </w:p>
    <w:p>
      <w:pPr>
        <w:pStyle w:val="p1a"/>
      </w:pPr>
      <w:r>
        <w:t>The full configuration passed validation on all 150 panels. This figure requires qualification: 64.0% of panels were served by model-generated text, while 36.0% fell back to fixed templates after regeneration failed. The guarantee is a property of the pipeline, not evidence that a 3B model reliably performs this task.</w:t>
      </w:r>
    </w:p>
    <w:p>
      <w:pPr/>
      <w:r>
        <w:t>The model-generated pass rate under full is 64.0%, higher than the 48.0% under constrained, indicating that regeneration recovers a substantial fraction of initially failed outputs.</w:t>
      </w:r>
    </w:p>
    <w:p>
      <w:pPr>
        <w:pStyle w:val="heading2"/>
      </w:pPr>
      <w:r>
        <w:t>Formatting and Cost</w:t>
      </w:r>
    </w:p>
    <w:p>
      <w:pPr>
        <w:pStyle w:val="p1a"/>
      </w:pPr>
      <w:r>
        <w:t>In baseline, 97.3% of outputs identified analytes by display name rather than canonical code, and 2.0% were unparseable; both fell to zero once the schema constraint was applied. We count these separately from content errors, since penalising a configuration for a format it was never instructed to follow would overstate its content failures.</w:t>
      </w:r>
    </w:p>
    <w:p>
      <w:pPr/>
      <w:r>
        <w:t>Mean processing time was 38.9 s for baseline, 35.8 s for constrained, and 68.3 s for full, with a mean of 1.97 generation attempts in the latter. Safety costs roughly a factor of two in latency. All measurements were taken on an Intel Core i5-9400F with 24 GB RAM, without GPU acceleration.</w:t>
      </w:r>
    </w:p>
    <w:p>
      <w:pPr>
        <w:pStyle w:val="heading1"/>
      </w:pPr>
      <w:r>
        <w:t>6</w:t>
      </w:r>
      <w:r>
        <w:tab/>
      </w:r>
      <w:r>
        <w:t>Discussion</w:t>
      </w:r>
    </w:p>
    <w:p>
      <w:pPr>
        <w:pStyle w:val="heading2"/>
      </w:pPr>
      <w:r>
        <w:t>6.1</w:t>
      </w:r>
      <w:r>
        <w:tab/>
      </w:r>
      <w:r>
        <w:t>Assigning Each Component the Task It Performs Reliably</w:t>
      </w:r>
    </w:p>
    <w:p>
      <w:pPr>
        <w:pStyle w:val="p1a"/>
      </w:pPr>
      <w:r>
        <w:t>The results support a division of labour rather than an improvement in prompting. The baseline configuration asked the model to do two things at once: judge each value and explain it. It failed at the first in 91.3% of panels while producing fluent prose throughout. Once judgement was moved to a rule layer, classification became exact by construction, and the model was left with paraphrasing, which it performs adequately.</w:t>
      </w:r>
    </w:p>
    <w:p>
      <w:pPr/>
      <w:r>
        <w:t>A useful consequence is that the two components improve independently. Replacing the heuristic severity thresholds with a laboratory's critical value list would change the labels the model receives but nothing else in the architecture, and Table 3 would remain valid, since it measures agreement between generated text and assigned labels rather than the clinical optimality of those labels. Likewise, a larger model would raise the model-generated pass rate without altering the safety guarantee, which Layer 4 supplies.</w:t>
      </w:r>
    </w:p>
    <w:p>
      <w:pPr>
        <w:pStyle w:val="heading2"/>
      </w:pPr>
      <w:r>
        <w:t>6.2</w:t>
      </w:r>
      <w:r>
        <w:tab/>
      </w:r>
      <w:r>
        <w:t>False Reassurance as a Distinct Metric</w:t>
      </w:r>
    </w:p>
    <w:p>
      <w:pPr>
        <w:pStyle w:val="p1a"/>
      </w:pPr>
      <w:r>
        <w:t>Evaluations of patient-facing explanation typically report readability and factual accuracy. Neither captures the error we consider most damaging. A statement that all results are normal, made about a panel that is not, is one sentence among many and may even score well on readability precisely because it is simple and reassuring; its harm lies in what it causes the reader not to do.</w:t>
      </w:r>
    </w:p>
    <w:p>
      <w:pPr/>
      <w:r>
        <w:t>Our data show that this error is neither rare nor eliminated by instruction: it occurred in 32.0% of baseline panels and, even after explicit prompt constraints forbidding it, still in 8.0% of constrained panels, reaching zero only under mechanical verification. Any system generating patient-facing interpretations of laboratory results should report this metric, and a prompt-level prohibition should not be accepted as evidence of its absence.</w:t>
      </w:r>
    </w:p>
    <w:p>
      <w:pPr>
        <w:pStyle w:val="heading2"/>
      </w:pPr>
      <w:r>
        <w:t>6.3</w:t>
      </w:r>
      <w:r>
        <w:tab/>
      </w:r>
      <w:r>
        <w:t>Unit Heterogeneity Is a Safety Problem, Not a Formatting One</w:t>
      </w:r>
    </w:p>
    <w:p>
      <w:pPr>
        <w:pStyle w:val="p1a"/>
      </w:pPr>
      <w:r>
        <w:t>The most instructive failure encountered during development occurred in the very layer the architecture treats as trustworthy. Layer 2 is deterministic and its classification is exact, but only with respect to the numbers it receives. Presented with haemoglobin measured in g/dL and compared against a g/L interval, it classified a normal value as requiring urgent care, with complete internal consistency. No downstream verification would detect this, because every subsequent layer would faithfully reproduce a confidently wrong label.</w:t>
      </w:r>
    </w:p>
    <w:p>
      <w:pPr/>
      <w:r>
        <w:t>This reframes data standardisation from an interoperability convenience into a safety precondition. Any claim of correctness for a rule-based clinical layer is conditional on data being in canonical units, and the conversion step must refuse rather than guess. Coding systems such as LOINC and exchange standards such as HL7 FHIR address exactly this problem; our observation is a small piece of empirical support for adopting them in Vietnamese laboratory reporting.</w:t>
      </w:r>
    </w:p>
    <w:p>
      <w:pPr>
        <w:pStyle w:val="heading2"/>
      </w:pPr>
      <w:r>
        <w:t>6.4</w:t>
      </w:r>
      <w:r>
        <w:tab/>
      </w:r>
      <w:r>
        <w:t>Deployment Considerations</w:t>
      </w:r>
    </w:p>
    <w:p>
      <w:pPr>
        <w:pStyle w:val="p1a"/>
      </w:pPr>
      <w:r>
        <w:t>Running a 3B model on CPU is slow, at 68.3 s per panel under the full pipeline, but tolerable for a task performed once per report rather than interactively. In return, it provides two properties that matter here: patient data never leaves the institution, and no GPU is required, so the hardware barrier for a provincial hospital is a machine it already owns.</w:t>
      </w:r>
    </w:p>
    <w:p>
      <w:pPr/>
      <w:r>
        <w:t>The 36.0% fallback rate is the cost of a small model. For that fraction of panels, the system degrades to something no better than the original report, though no worse and never misleading.</w:t>
      </w:r>
    </w:p>
    <w:p>
      <w:pPr>
        <w:pStyle w:val="heading1"/>
      </w:pPr>
      <w:r>
        <w:t>7</w:t>
      </w:r>
      <w:r>
        <w:tab/>
      </w:r>
      <w:r>
        <w:t>Limitations</w:t>
      </w:r>
    </w:p>
    <w:p>
      <w:pPr>
        <w:pStyle w:val="p1a"/>
      </w:pPr>
      <w:r>
        <w:t>No clinical validation. All evaluation is automated. No medical professional reviewed the generated explanations, so we can only claim that outputs are internally consistent with the assigned labels, not that they are clinically appropriate or genuinely comprehensible to patients.</w:t>
      </w:r>
    </w:p>
    <w:p>
      <w:pPr/>
      <w:r>
        <w:t>Severity thresholds are not clinically grounded. The factors separating monitor from seek care were set heuristically to demonstrate the architecture, have not been validated against any laboratory's critical value list, and should not be read as clinical recommendations.</w:t>
      </w:r>
    </w:p>
    <w:p>
      <w:pPr/>
      <w:r>
        <w:t>Synthetic data and pattern-based validation. Panels are generated rather than clinical; real reports carry noise, missing fields, and formatting variation that this study does not capture. Layer 4 matches surface patterns and can be evaded by indirect phrasing: it blocks the errors it was designed to detect, not all unsafe content.</w:t>
      </w:r>
    </w:p>
    <w:p>
      <w:pPr/>
      <w:r>
        <w:t>Scope. Only complete blood count panels are supported; biochemistry, immunology, one-sided reference intervals, and qualitative results are not handled, and reference intervals are not stratified by sex or age. Structured input is assumed, so optical character recognition is out of scope. Results are from a single 3B model.</w:t>
      </w:r>
    </w:p>
    <w:p>
      <w:pPr>
        <w:pStyle w:val="heading1"/>
      </w:pPr>
      <w:r>
        <w:t>8</w:t>
      </w:r>
      <w:r>
        <w:tab/>
      </w:r>
      <w:r>
        <w:t>Conclusion</w:t>
      </w:r>
    </w:p>
    <w:p>
      <w:pPr>
        <w:pStyle w:val="p1a"/>
      </w:pPr>
      <w:r>
        <w:t>We presented a pipeline for explaining blood test results to patients in which the language model is not permitted to judge whether a value is abnormal. Rules make that determination first; the model paraphrases the result; a validator checks the paraphrase against the determination and substitutes a fixed template when the two disagree.</w:t>
      </w:r>
    </w:p>
    <w:p>
      <w:pPr/>
      <w:r>
        <w:t>Across 150 synthetic panels, false reassurance fell from 32.0% under unconstrained generation to 8.0% with prompt constraints and to zero with validation, and the full pipeline produced no unsafe output. The system runs on CPU without a GPU, keeping laboratory data within the institution.</w:t>
      </w:r>
    </w:p>
    <w:p>
      <w:pPr>
        <w:pStyle w:val="heading1"/>
      </w:pPr>
      <w:r>
        <w:t>9</w:t>
      </w:r>
      <w:r>
        <w:tab/>
      </w:r>
      <w:r>
        <w:t>Future Work</w:t>
      </w:r>
    </w:p>
    <w:p>
      <w:pPr>
        <w:pStyle w:val="p1a"/>
      </w:pPr>
      <w:r>
        <w:t>The most pressing direction is clinical validation. The current evaluation establishes only internal consistency between generated text and assigned labels, not clinical appropriateness; expert medical review is therefore required before any claim about patient benefit can be made. Alongside this, the heuristically set thresholds should be replaced with an established critical value list, so that the judgement made in Layer 2 is clinically grounded rather than merely illustrative of the architecture.</w:t>
      </w:r>
    </w:p>
    <w:p>
      <w:pPr/>
      <w:r>
        <w:t>At the system level, coverage should be extended beyond the complete blood count to panels with one-sided reference intervals and qualitative results, two forms of data the current design does not handle. A speech output layer would also serve elderly patients and those with limited reading ability; because it would consume only validated text, it could not introduce new content errors.</w:t>
      </w:r>
    </w:p>
    <w:p>
      <w:pPr/>
      <w:r>
        <w:t>Finally, the system should be evaluated on real reports from multiple laboratories. This is the genuine test of name and unit normalisation against a degree of variation that the synthetic data in this study could only approximate.</w:t>
      </w:r>
    </w:p>
    <w:p>
      <w:pPr/>
      <w:r>
        <w:br w:type="page"/>
      </w:r>
    </w:p>
    <w:p>
      <w:pPr/>
    </w:p>
    <w:p>
      <w:pPr/>
    </w:p>
    <w:p>
      <w:pPr/>
    </w:p>
    <w:p>
      <w:pPr/>
    </w:p>
    <w:p>
      <w:pPr/>
    </w:p>
    <w:p>
      <w:pPr/>
    </w:p>
    <w:p>
      <w:pPr/>
    </w:p>
    <w:p>
      <w:pPr/>
    </w:p>
    <w:p>
      <w:pPr/>
    </w:p>
    <w:p>
      <w:pPr/>
    </w:p>
    <w:p>
      <w:pPr/>
    </w:p>
    <w:p>
      <w:pPr/>
    </w:p>
    <w:p>
      <w:pPr/>
      <w:bookmarkStart w:id="0" w:name="_GoBack"/>
      <w:bookmarkEnd w:id="0"/>
    </w:p>
    <w:p>
      <w:pPr>
        <w:pStyle w:val="heading1"/>
      </w:pPr>
      <w:r>
        <w:t>References</w:t>
      </w:r>
    </w:p>
    <w:sdt>
      <w:sdtPr>
        <w:id w:val="1234567"/>
      </w:sdtPr>
      <w:sdtContent>
        <w:p>
          <w:pPr>
            <w:pStyle w:val="Bibliography"/>
          </w:pPr>
          <w:r>
            <w:fldChar w:fldCharType="begin"/>
          </w:r>
          <w:r>
            <w:instrText xml:space="preserve"> BIBLIOGRAPHY \l 1033 </w:instrText>
          </w:r>
          <w:r>
            <w:fldChar w:fldCharType="separate"/>
          </w:r>
        </w:p>
        <w:p>
          <w:pPr>
            <w:pStyle w:val="Bibliography"/>
          </w:pPr>
          <w:r>
            <w:rPr/>
            <w:t>[1] T. D. Giardina, J. Baldwin, D. T. Nystrom, D. F. Sittig, and H. Singh, “Patient perceptions of receiving test results via online portals: A mixed-methods study,” Journal of the American Medical Informatics Association, vol. 25, no. 4, pp. 440–446, 2018.</w:t>
          </w:r>
        </w:p>
        <w:p>
          <w:pPr>
            <w:pStyle w:val="Bibliography"/>
          </w:pPr>
          <w:r>
            <w:rPr/>
            <w:t>[2] Z. He, B. Bhasuran, Q. Jin et al., “Quality of answers of generative large language models versus peer users for interpreting laboratory test results for lay patients: Evaluation study,” Journal of Medical Internet Research, vol. 26, p. e56655, 2024.</w:t>
          </w:r>
        </w:p>
        <w:p>
          <w:pPr>
            <w:pStyle w:val="Bibliography"/>
          </w:pPr>
          <w:r>
            <w:rPr/>
            <w:t>[3] A. Bozer and Y. Pekçevik, “Comparative evaluation of large language models in explaining radiology reports: Expert assessment of readability, understandability, and communication features,” Insights into Imaging, vol. 16, p. 232, 2025.</w:t>
          </w:r>
        </w:p>
        <w:p>
          <w:pPr>
            <w:pStyle w:val="Bibliography"/>
          </w:pPr>
          <w:r>
            <w:rPr/>
            <w:t>[4] R. Kianian, D. Sun, W. Rojas-Carabali, R. Agrawal, and E. Tsui, “Large language models may help patients understand peer-reviewed scientific articles about ophthalmology: Development and usability study,” Journal of Medical Internet Research, vol. 26, p. e59843, 2024.</w:t>
          </w:r>
        </w:p>
        <w:p>
          <w:pPr>
            <w:pStyle w:val="Bibliography"/>
          </w:pPr>
          <w:r>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pStyle w:val="Bibliography"/>
          </w:pPr>
          <w:r>
            <w:rPr/>
            <w:t>[6] C. Munoz-Zuluaga, Z. Zhao, F. Wang, M. B. Greenblatt, and H. S. Yang, “Assessing the accuracy and clinical utility of ChatGPT in laboratory medicine,” Clinical Chemistry, vol. 69, no. 8, pp. 939–940, 2023.</w:t>
          </w:r>
        </w:p>
        <w:p>
          <w:pPr>
            <w:pStyle w:val="Bibliography"/>
          </w:pPr>
          <w:r>
            <w:rPr/>
            <w:t>[7] M. T. Tran, H. T. Lai, H. T. Hoang et al., “Health literacy among older adults: A descriptive cross-sectional analysis in Vietnam,” Journal of Health Literacy, vol. 10, no. 2, pp. 91–100, 2025.</w:t>
          </w:r>
        </w:p>
        <w:p>
          <w:pPr>
            <w:pStyle w:val="Bibliography"/>
          </w:pPr>
          <w:r>
            <w:rPr/>
            <w:t>[8] “Factors associated with health literacy among the elderly people in Vietnam,” BioMed Research International, vol. 2020, p. 3490635, 2020.</w:t>
          </w:r>
        </w:p>
        <w:p>
          <w:pPr>
            <w:pStyle w:val="Bibliography"/>
          </w:pPr>
          <w:r>
            <w:rPr/>
            <w:t>[9] T. T. H. Dinh and A. Bonner, “Psychometric properties of the health literacy questionnaire tested in Vietnamese adults with chronic diseases,” BMC Public Health, vol. 25, p. 44, 2025.</w:t>
          </w:r>
        </w:p>
        <w:p>
          <w:pPr>
            <w:pStyle w:val="Bibliography"/>
          </w:pPr>
          <w:r>
            <w:rPr/>
            <w:t>[10] B. N. Nguyen, T. T. Ngo et al., “Health and eHealth literacy in Vietnam: Evidence from a national survey,” Patient Education and Counseling, vol. 148, p. 109583, 2026.</w:t>
          </w:r>
        </w:p>
        <w:p>
          <w:pPr>
            <w:pStyle w:val="Bibliography"/>
          </w:pPr>
          <w:r>
            <w:rPr/>
            <w:t>[11] S. Geng, M. Josifoski, M. Peyrard, and R. West, “Grammar-constrained decoding for structured NLP tasks without fine-tuning,” in Proc. 2023 Conf. Empirical Methods in Natural Language Processing (EMNLP), 2023.</w:t>
          </w:r>
        </w:p>
        <w:p>
          <w:pPr>
            <w:pStyle w:val="Bibliography"/>
          </w:pPr>
          <w:r>
            <w:rPr/>
            <w:t>[12] B. T. Willard and R. Louf, “Efficient guided generation for large language models,” arXiv preprint arXiv:2307.09702, 2023.</w:t>
          </w:r>
        </w:p>
        <w:p>
          <w:pPr>
            <w:pStyle w:val="Bibliography"/>
          </w:pPr>
          <w:r>
            <w:rPr/>
            <w:t>[13] S. Choi, T. Fang, Z. Wang, and Y. Song, “KCTS: Knowledge-constrained tree search decoding with token-level hallucination detection,” in Proc. 2023 Conf. Empirical Methods in Natural Language Processing (EMNLP), 2023.</w:t>
          </w:r>
        </w:p>
        <w:p>
          <w:pPr>
            <w:pStyle w:val="Bibliography"/>
          </w:pPr>
          <w:r>
            <w:rPr/>
            <w:t>[14] P. Naliyatthaliyazchayil and T. Stenerson, “Harmonizing Logical Observation Identifiers Names and Codes (LOINC) codes and units in real-world oncology data: Method development and evaluation,” JMIR Medical Informatics, vol. 14, p. e81254, 2026.</w:t>
          </w:r>
        </w:p>
        <w:p>
          <w:pPr>
            <w:pStyle w:val="Bibliography"/>
          </w:pPr>
          <w:r>
            <w:rPr/>
            <w:t>[15] A. M. Zayed, I. Sarikakis, and N. Delvaux, “Automated standardization and harmonization of laboratory units in large-scale clinical data using open-source R functions,” International Journal of Medical Informatics, vol. 205, p. 106131, 2025.</w:t>
          </w:r>
        </w:p>
        <w:p>
          <w:pPr>
            <w:pStyle w:val="Bibliography"/>
          </w:pPr>
          <w:r>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pStyle w:val="Bibliography"/>
          </w:pPr>
          <w:r>
            <w:rPr/>
            <w:t>[17] J. de la Torre, “Scalable unit harmonization in medical informatics via Bayesian-optimized retrieval and transformer-based re-ranking,” International Journal of Medical Informatics, vol. 206, p. 106180, 2026.</w:t>
          </w:r>
        </w:p>
        <w:p>
          <w:pPr>
            <w:pStyle w:val="Bibliography"/>
          </w:pPr>
          <w:r>
            <w:fldChar w:fldCharType="end"/>
          </w:r>
        </w:p>
      </w:sdtContent>
    </w:sdt>
    <w:sectPr>
      <w:headerReference w:type="first" r:id="rId10"/>
      <w:headerReference w:type="default" r:id="rId11"/>
      <w:pgSz w:w="11906" w:h="16838"/>
      <w:pgMar w:top="2948" w:right="2494" w:bottom="2948" w:left="2494" w:header="2381" w:footer="232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9"/>
    </w:pPr>
    <w:fldSimple w:instr="PAGE   \* MERGEFORMAT">
      <w:r>
        <w:t>2</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850" w:hanging="283"/>
      </w:pPr>
    </w:lvl>
  </w:abstractNum>
  <w:abstractNum w:abstractNumId="1">
    <w:nsid w:val="FFFFFF7F"/>
    <w:multiLevelType w:val="singleLevel"/>
    <w:tmpl w:val="FFFFFF7F"/>
    <w:lvl w:ilvl="0" w:tentative="0">
      <w:start w:val="1"/>
      <w:numFmt w:val="decimal"/>
      <w:pStyle w:val="30"/>
      <w:lvlText w:val="%1."/>
      <w:lvlJc w:val="left"/>
      <w:pPr>
        <w:tabs>
          <w:tab w:val="left" w:pos="720"/>
        </w:tabs>
        <w:ind w:left="850" w:hanging="283"/>
      </w:pPr>
    </w:lvl>
  </w:abstractNum>
  <w:abstractNum w:abstractNumId="2">
    <w:nsid w:val="FFFFFF82"/>
    <w:multiLevelType w:val="singleLevel"/>
    <w:tmpl w:val="FFFFFF82"/>
    <w:lvl w:ilvl="0" w:tentative="0">
      <w:start w:val="1"/>
      <w:numFmt w:val="bullet"/>
      <w:pStyle w:val="25"/>
      <w:lvlText w:val=""/>
      <w:lvlJc w:val="left"/>
      <w:pPr>
        <w:tabs>
          <w:tab w:val="left" w:pos="1080"/>
        </w:tabs>
        <w:ind w:left="850" w:hanging="283"/>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850" w:hanging="283"/>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227" w:hanging="57"/>
      </w:pPr>
    </w:lvl>
  </w:abstractNum>
  <w:abstractNum w:abstractNumId="5">
    <w:nsid w:val="FFFFFF89"/>
    <w:multiLevelType w:val="singleLevel"/>
    <w:tmpl w:val="FFFFFF89"/>
    <w:lvl w:ilvl="0" w:tentative="0">
      <w:start w:val="1"/>
      <w:numFmt w:val="bullet"/>
      <w:pStyle w:val="23"/>
      <w:lvlText w:val=""/>
      <w:lvlJc w:val="left"/>
      <w:pPr>
        <w:tabs>
          <w:tab w:val="left" w:pos="360"/>
        </w:tabs>
        <w:ind w:left="850" w:hanging="283"/>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tLeast"/>
      <w:ind w:firstLine="227"/>
      <w:jc w:val="both"/>
    </w:pPr>
    <w:rPr>
      <w:rFonts w:ascii="Times New Roman" w:hAnsi="Times New Roman" w:cs="Times New Roman" w:eastAsia="Times New Roman"/>
      <w:sz w:val="20"/>
      <w:szCs w:val="20"/>
      <w:lang w:val="en-US"/>
    </w:rPr>
  </w:style>
  <w:style w:type="paragraph" w:styleId="2">
    <w:name w:val="heading 1"/>
    <w:basedOn w:val="1"/>
    <w:next w:val="1"/>
    <w:link w:val="143"/>
    <w:qFormat/>
    <w:uiPriority w:val="9"/>
    <w:pPr>
      <w:keepNext/>
      <w:widowControl/>
      <w:spacing w:before="240" w:after="120" w:line="360" w:lineRule="auto"/>
      <w:ind w:left="0" w:right="0" w:firstLine="0"/>
      <w:jc w:val="left"/>
      <w:outlineLvl w:val="0"/>
    </w:pPr>
    <w:rPr>
      <w:rFonts w:ascii="Times New Roman" w:hAnsi="Times New Roman" w:cs="Times New Roman" w:eastAsia="Times New Roman"/>
      <w:b/>
      <w:i w:val="0"/>
      <w:sz w:val="28"/>
    </w:rPr>
  </w:style>
  <w:style w:type="paragraph" w:styleId="3">
    <w:name w:val="heading 2"/>
    <w:basedOn w:val="1"/>
    <w:next w:val="1"/>
    <w:link w:val="144"/>
    <w:unhideWhenUsed/>
    <w:qFormat/>
    <w:uiPriority w:val="9"/>
    <w:pPr>
      <w:keepNext/>
      <w:widowControl/>
      <w:spacing w:before="120" w:after="120" w:line="360" w:lineRule="auto"/>
      <w:ind w:left="0" w:right="0" w:firstLine="0"/>
      <w:jc w:val="left"/>
      <w:outlineLvl w:val="1"/>
    </w:pPr>
    <w:rPr>
      <w:rFonts w:ascii="Times New Roman" w:hAnsi="Times New Roman" w:cs="Times New Roman" w:eastAsia="Times New Roman"/>
      <w:b/>
      <w:i w:val="0"/>
      <w:sz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keepNext/>
      <w:widowControl/>
      <w:spacing w:before="120" w:after="120" w:line="240" w:lineRule="auto"/>
      <w:ind w:left="0" w:right="0" w:firstLine="0"/>
      <w:jc w:val="center"/>
    </w:pPr>
    <w:rPr>
      <w:rFonts w:ascii="Times New Roman" w:hAnsi="Times New Roman" w:cs="Times New Roman" w:eastAsia="Times New Roman"/>
      <w:b/>
      <w:i w:val="0"/>
      <w:sz w:val="26"/>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keepNext w:val="0"/>
      <w:widowControl/>
      <w:spacing w:before="0" w:after="0" w:line="240" w:lineRule="auto"/>
      <w:ind w:left="0" w:right="0" w:firstLine="0"/>
      <w:jc w:val="center"/>
    </w:pPr>
    <w:rPr>
      <w:rFonts w:ascii="Times New Roman" w:hAnsi="Times New Roman" w:cs="Times New Roman" w:eastAsia="Times New Roman"/>
      <w:sz w:val="24"/>
    </w:rPr>
  </w:style>
  <w:style w:type="paragraph" w:styleId="19">
    <w:name w:val="header"/>
    <w:basedOn w:val="1"/>
    <w:link w:val="140"/>
    <w:unhideWhenUsed/>
    <w:qFormat/>
    <w:uiPriority w:val="99"/>
    <w:pPr>
      <w:ind w:firstLine="0"/>
      <w:jc w:val="right"/>
    </w:pPr>
    <w:rPr>
      <w:sz w:val="18"/>
      <w:szCs w:val="18"/>
    </w:r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keepNext w:val="0"/>
      <w:widowControl/>
      <w:spacing w:before="0" w:after="120" w:line="360" w:lineRule="auto"/>
      <w:ind w:left="850" w:right="0" w:hanging="283"/>
      <w:jc w:val="both"/>
      <w:numPr>
        <w:ilvl w:val="0"/>
        <w:numId w:val="1"/>
      </w:numPr>
    </w:pPr>
    <w:rPr>
      <w:rFonts w:ascii="Times New Roman" w:hAnsi="Times New Roman" w:cs="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keepNext w:val="0"/>
      <w:widowControl/>
      <w:spacing w:before="0" w:after="120" w:line="360" w:lineRule="auto"/>
      <w:ind w:left="850" w:right="0" w:hanging="283"/>
      <w:jc w:val="both"/>
      <w:numPr>
        <w:ilvl w:val="0"/>
        <w:numId w:val="4"/>
      </w:numPr>
    </w:pPr>
    <w:rPr>
      <w:rFonts w:ascii="Times New Roman" w:hAnsi="Times New Roman" w:cs="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keepNext/>
      <w:widowControl/>
      <w:spacing w:before="0" w:after="120" w:line="240" w:lineRule="auto"/>
      <w:ind w:left="0" w:right="0" w:firstLine="0"/>
      <w:jc w:val="center"/>
    </w:pPr>
    <w:rPr>
      <w:rFonts w:ascii="Times New Roman" w:hAnsi="Times New Roman" w:cs="Times New Roman" w:eastAsia="Times New Roman"/>
      <w:b/>
      <w:sz w:val="3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 w:type="paragraph" w:customStyle="1" w:styleId="Noidungbang">
    <w:name w:val="Noi dung bang"/>
    <w:basedOn w:val="1"/>
    <w:qFormat/>
    <w:pPr>
      <w:spacing w:before="0" w:after="0" w:line="220" w:lineRule="atLeast"/>
      <w:ind w:firstLine="0"/>
      <w:jc w:val="left"/>
    </w:pPr>
    <w:rPr>
      <w:sz w:val="18"/>
      <w:szCs w:val="18"/>
    </w:rPr>
  </w:style>
  <w:style w:type="paragraph" w:customStyle="1" w:styleId="Bibliography">
    <w:name w:val="Bibliography"/>
    <w:basedOn w:val="1"/>
    <w:qFormat/>
    <w:pPr>
      <w:spacing w:line="220" w:lineRule="atLeast"/>
      <w:ind w:left="454" w:hanging="454"/>
      <w:jc w:val="both"/>
    </w:pPr>
    <w:rPr>
      <w:sz w:val="18"/>
      <w:szCs w:val="18"/>
    </w:rPr>
  </w:style>
  <w:style w:type="paragraph" w:customStyle="1" w:styleId="p1a">
    <w:name w:val="p1a"/>
    <w:basedOn w:val="1"/>
    <w:qFormat/>
    <w:pPr>
      <w:ind w:firstLine="0"/>
    </w:pPr>
    <w:rPr/>
  </w:style>
  <w:style w:type="paragraph" w:customStyle="1" w:styleId="papertitle">
    <w:name w:val="papertitle"/>
    <w:basedOn w:val="1"/>
    <w:qFormat/>
    <w:pPr>
      <w:keepNext/>
      <w:keepLines/>
      <w:suppressAutoHyphens/>
      <w:spacing w:after="480" w:line="360" w:lineRule="atLeast"/>
      <w:ind w:firstLine="0"/>
      <w:jc w:val="center"/>
    </w:pPr>
    <w:rPr>
      <w:b/>
      <w:sz w:val="28"/>
      <w:szCs w:val="28"/>
    </w:rPr>
  </w:style>
  <w:style w:type="paragraph" w:customStyle="1" w:styleId="author">
    <w:name w:val="author"/>
    <w:basedOn w:val="1"/>
    <w:qFormat/>
    <w:pPr>
      <w:spacing w:after="200" w:line="220" w:lineRule="atLeast"/>
      <w:ind w:firstLine="0"/>
      <w:jc w:val="center"/>
    </w:pPr>
    <w:rPr>
      <w:sz w:val="20"/>
      <w:szCs w:val="20"/>
    </w:rPr>
  </w:style>
  <w:style w:type="paragraph" w:customStyle="1" w:styleId="address">
    <w:name w:val="address"/>
    <w:basedOn w:val="1"/>
    <w:qFormat/>
    <w:pPr>
      <w:spacing w:after="200" w:line="220" w:lineRule="atLeast"/>
      <w:ind w:firstLine="0"/>
      <w:contextualSpacing/>
      <w:jc w:val="center"/>
    </w:pPr>
    <w:rPr>
      <w:sz w:val="18"/>
      <w:szCs w:val="18"/>
    </w:rPr>
  </w:style>
  <w:style w:type="paragraph" w:customStyle="1" w:styleId="abstract">
    <w:name w:val="abstract"/>
    <w:basedOn w:val="1"/>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rPr>
      <w:sz w:val="18"/>
      <w:szCs w:val="18"/>
    </w:rPr>
  </w:style>
  <w:style w:type="paragraph" w:customStyle="1" w:styleId="heading1">
    <w:name w:val="heading1"/>
    <w:basedOn w:val="1"/>
    <w:qFormat/>
    <w:pPr>
      <w:keepNext/>
      <w:keepLines/>
      <w:suppressAutoHyphens/>
      <w:spacing w:before="360" w:after="240" w:line="300" w:lineRule="atLeast"/>
      <w:ind w:left="567" w:hanging="567"/>
      <w:jc w:val="left"/>
      <w:outlineLvl w:val="0"/>
    </w:pPr>
    <w:rPr>
      <w:b/>
      <w:sz w:val="24"/>
      <w:szCs w:val="24"/>
    </w:rPr>
  </w:style>
  <w:style w:type="paragraph" w:customStyle="1" w:styleId="heading2">
    <w:name w:val="heading2"/>
    <w:basedOn w:val="1"/>
    <w:qFormat/>
    <w:pPr>
      <w:keepNext/>
      <w:keepLines/>
      <w:suppressAutoHyphens/>
      <w:spacing w:before="360" w:after="160"/>
      <w:ind w:left="567" w:hanging="567"/>
      <w:jc w:val="left"/>
      <w:outlineLvl w:val="1"/>
    </w:pPr>
    <w:rPr>
      <w:b/>
      <w:sz w:val="20"/>
      <w:szCs w:val="20"/>
    </w:rPr>
  </w:style>
  <w:style w:type="paragraph" w:customStyle="1" w:styleId="bulletitem">
    <w:name w:val="bulletitem"/>
    <w:basedOn w:val="1"/>
    <w:qFormat/>
    <w:pPr>
      <w:spacing w:before="160" w:after="160"/>
      <w:contextualSpacing/>
    </w:pPr>
    <w:rPr/>
  </w:style>
  <w:style w:type="paragraph" w:customStyle="1" w:styleId="numitem">
    <w:name w:val="numitem"/>
    <w:basedOn w:val="1"/>
    <w:qFormat/>
    <w:pPr>
      <w:numPr>
        <w:numId w:val="4"/>
      </w:numPr>
      <w:spacing w:before="160" w:after="160"/>
      <w:contextualSpacing/>
    </w:pPr>
    <w:rPr/>
  </w:style>
  <w:style w:type="paragraph" w:customStyle="1" w:styleId="tablecaption">
    <w:name w:val="tablecaption"/>
    <w:basedOn w:val="1"/>
    <w:qFormat/>
    <w:pPr>
      <w:keepNext/>
      <w:keepLines/>
      <w:spacing w:before="240" w:after="120" w:line="220" w:lineRule="atLeast"/>
      <w:ind w:firstLine="0"/>
      <w:jc w:val="center"/>
    </w:pPr>
    <w:rPr>
      <w:sz w:val="18"/>
      <w:szCs w:val="18"/>
    </w:rPr>
  </w:style>
  <w:style w:type="paragraph" w:customStyle="1" w:styleId="figurecaption">
    <w:name w:val="figurecaption"/>
    <w:basedOn w:val="1"/>
    <w:qFormat/>
    <w:pPr>
      <w:keepLines/>
      <w:spacing w:before="120" w:after="240" w:line="220" w:lineRule="atLeast"/>
      <w:ind w:firstLine="0"/>
      <w:jc w:val="center"/>
    </w:pPr>
    <w:rPr>
      <w:sz w:val="18"/>
      <w:szCs w:val="18"/>
    </w:rPr>
  </w:style>
  <w:style w:type="paragraph" w:customStyle="1" w:styleId="image">
    <w:name w:val="image"/>
    <w:basedOn w:val="1"/>
    <w:qFormat/>
    <w:pPr>
      <w:keepNext/>
      <w:spacing w:before="240" w:after="120"/>
      <w:ind w:firstLine="0"/>
      <w:jc w:val="center"/>
    </w:pP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lastModifiedBy/>
  <dcterms:modified xsi:type="dcterms:W3CDTF">2026-09-14T13:21:55Z</dcterms:modified>
  <cp:revision>13</cp:revision>
  <dc:title>A Rule-Constrained Large Language Model Pipeline for Patient-Friendly Interpretation of Vietnamese Blood Test Results</dc:title>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