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sz w:val="22"/>
          <w:szCs w:val="18"/>
        </w:rPr>
      </w:pPr>
      <w:r>
        <w:rPr>
          <w:b/>
          <w:sz w:val="28"/>
          <w:szCs w:val="18"/>
        </w:rPr>
        <w:t>HỆ THỐNG LLM CÓ RÀNG BUỘC THEO LUẬT ĐỂ DIỄN GIẢI KẾT QUẢ XÉT NGHIỆM MÁU CHO BỆNH NHÂN VIỆT NAM</w:t>
      </w:r>
    </w:p>
    <w:p>
      <w:pPr>
        <w:spacing w:after="360"/>
        <w:jc w:val="center"/>
      </w:pPr>
      <w:r>
        <w:rPr>
          <w:i/>
        </w:rPr>
        <w:t>Trường Đại học Công nghệ TP.HCM (HUTECH)</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567"/>
        <w:jc w:val="both"/>
      </w:pPr>
      <w:r>
        <w:t xml:space="preserve">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w:t>
      </w:r>
      <w:r>
        <w:rPr>
          <w:bCs/>
        </w:rPr>
        <w:t>91,3%</w:t>
      </w:r>
      <w:r>
        <w:t xml:space="preserve"> số ca và nói với bệnh nhân có kết quả bất thường rằng mọi thứ đều bình thường ở </w:t>
      </w:r>
      <w:r>
        <w:rPr>
          <w:bCs/>
        </w:rPr>
        <w:t>32,0%</w:t>
      </w:r>
      <w:r>
        <w:t xml:space="preserve"> số ca.</w:t>
      </w:r>
    </w:p>
    <w:p>
      <w:pPr>
        <w:spacing w:after="120" w:line="360" w:lineRule="auto"/>
        <w:ind w:firstLine="567"/>
        <w:jc w:val="both"/>
      </w:pPr>
      <w:r>
        <w:t xml:space="preserve">Chúng tôi đề xuất một quy trình bốn tầng, trong đó mọi phán đoán lâm sàng đều do luật xác định trước khi mô hình ngôn ngữ được gọi; mô hình chỉ diễn đạt lại các nhãn đã gán sẵn, và một bộ kiểm chứng sau sinh sẽ loại bỏ những đầu ra mâu thuẫn với nhãn đó. Trên 150 phiếu tổng hợp, quy trình đầy đủ </w:t>
      </w:r>
      <w:r>
        <w:rPr>
          <w:bCs/>
        </w:rPr>
        <w:t>không tạo ra đầu ra không an toàn nào,</w:t>
      </w:r>
      <w:r>
        <w:t xml:space="preserve"> trong đó 64,0% do mô hình sinh và 36,0% rơi vào bản mẫu cố định. Hệ thống chạy được trên CPU, không cần GPU.</w:t>
      </w:r>
    </w:p>
    <w:p>
      <w:pPr>
        <w:spacing w:after="120" w:line="360" w:lineRule="auto"/>
        <w:ind w:firstLine="567"/>
        <w:jc w:val="both"/>
      </w:pPr>
      <w:r>
        <w:rPr>
          <w:b/>
        </w:rPr>
        <w:t>Từ khóa:</w:t>
      </w:r>
      <w:r>
        <w:t xml:space="preserve"> năng lực hiểu biết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567"/>
        <w:jc w:val="both"/>
      </w:pPr>
      <w:r>
        <w:t xml:space="preserve">Một bệnh nhân rời phòng xét nghiệm ở Việt Nam cầm trên tay một bảng số kèm các thuật ngữ như </w:t>
      </w:r>
      <w:r>
        <w:rPr>
          <w:i/>
        </w:rPr>
        <w:t>PDW</w:t>
      </w:r>
      <w:r>
        <w:t xml:space="preserve">, </w:t>
      </w:r>
      <w:r>
        <w:rPr>
          <w:i/>
        </w:rPr>
        <w:t>MCHC</w:t>
      </w:r>
      <w:r>
        <w:t xml:space="preserve">, </w:t>
      </w:r>
      <w:r>
        <w:rPr>
          <w:i/>
        </w:rPr>
        <w:t>Monocyte</w:t>
      </w:r>
      <w:r>
        <w:t xml:space="preserve">, với các đơn vị </w:t>
      </w:r>
      <w:r>
        <w:rPr>
          <w:i/>
        </w:rPr>
        <w:t>G/L</w:t>
      </w:r>
      <w:r>
        <w:t xml:space="preserve">, </w:t>
      </w:r>
      <w:r>
        <w:rPr>
          <w:i/>
        </w:rPr>
        <w:t>fL</w:t>
      </w:r>
      <w:r>
        <w:t xml:space="preserve">, </w:t>
      </w:r>
      <w:r>
        <w:rPr>
          <w:i/>
        </w:rPr>
        <w:t>pg</w:t>
      </w:r>
      <w:r>
        <w:t>.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kết quả chính là điều mà khái niệm năng lực hiểu biết sức khỏe (health literacy) mô tả: khả năng tiếp cận, hiểu, đánh giá và sử dụng thông tin y tế để tự chăm sóc sức khỏe của mình.</w:t>
      </w:r>
    </w:p>
    <w:p>
      <w:pPr>
        <w:spacing w:after="120" w:line="360" w:lineRule="auto"/>
        <w:ind w:firstLine="567"/>
        <w:jc w:val="both"/>
      </w:pPr>
      <w:r>
        <w:t xml:space="preserve">Việc bệnh nhân bị bỏ mặc tự xoay xở với khoảng cách này đã được ghi nhận trong một nghiên cứu trên 93 bệnh nhân nhận kết quả qua cổng thông tin trực tuyến: gần </w:t>
      </w:r>
      <w:r>
        <w:rPr>
          <w:bCs/>
        </w:rPr>
        <w:t>hai phần ba không được giải thích gì</w:t>
      </w:r>
      <w:r>
        <w:t xml:space="preserve"> về kết quả và </w:t>
      </w:r>
      <w:r>
        <w:rPr>
          <w:bCs/>
        </w:rPr>
        <w:t>46% phải tự tra cứu trên mạng</w:t>
      </w:r>
      <w:r>
        <w:t xml:space="preserve"> để hiểu. Ngày nay, việc tra cứu đó thường có nghĩa là chụp ảnh phiếu xét nghiệm rồi hỏi một mô hình ngôn ngữ phổ thông.</w:t>
      </w:r>
    </w:p>
    <w:p>
      <w:pPr>
        <w:spacing w:after="120" w:line="360" w:lineRule="auto"/>
        <w:ind w:firstLine="567"/>
        <w:jc w:val="both"/>
      </w:pPr>
      <w:r>
        <w:t>Kiểu thất bại này rất dễ tái hiện. Khi được hỏi bằng tiếng Việt bạch cầu là gì, mô hình 3 tỷ tham số dùng trong nghiên cứu này trả lời rằng bạch cầu là tế bào lympho, trong khi lympho chỉ là một loại bạch cầu chứ không phải từ đồng nghĩa, rồi tự ý nhắc đến ung thư và suy giảm miễn dịch. Một người cầm kết quả hoàn toàn bình thường sẽ gặp một lỗi định nghĩa và hai căn bệnh đáng sợ chỉ trong một câu trả lời ngắn.</w:t>
      </w:r>
    </w:p>
    <w:p>
      <w:pPr>
        <w:spacing w:after="120" w:line="360" w:lineRule="auto"/>
        <w:ind w:firstLine="567"/>
        <w:jc w:val="both"/>
      </w:pPr>
      <w:r>
        <w:t>Kiểu thất bại nghiêm trọng hơn lại đi theo chiều ngược lại. Một mô hình tóm tắt rằng phiếu bình thường, trong khi nó không bình thường, thì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riêng.</w:t>
      </w:r>
    </w:p>
    <w:p>
      <w:pPr>
        <w:spacing w:after="120" w:line="360" w:lineRule="auto"/>
        <w:ind w:firstLine="567"/>
        <w:jc w:val="both"/>
      </w:pPr>
      <w:r>
        <w:t>Quan điểm của chúng tôi là không nên giao nhiệm vụ cho mô hình theo cách người ta vẫn giao.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rPr>
          <w:b/>
        </w:rPr>
        <w:t>Quy trình bốn tầng,</w:t>
      </w:r>
      <w:r>
        <w:t xml:space="preserve">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rPr>
          <w:b/>
        </w:rPr>
        <w:t>Bộ kiểm chứng tự động sau sinh</w:t>
      </w:r>
      <w:r>
        <w:t>, đối chiếu văn bản sinh ra với các nhãn đó và rơi về bản mẫu cố định khi không khớp, đảm bảo không có văn bản chưa kiểm chứng nào đến tay người đọc.</w:t>
      </w:r>
    </w:p>
    <w:p>
      <w:pPr>
        <w:pStyle w:val="29"/>
        <w:spacing w:after="120" w:line="360" w:lineRule="auto"/>
        <w:jc w:val="both"/>
      </w:pPr>
      <w:r>
        <w:rPr>
          <w:b/>
        </w:rPr>
        <w:t>Đánh giá trên 150 phiếu công thức máu tổng hợp</w:t>
      </w:r>
      <w:r>
        <w:t>, đo năm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rPr>
          <w:b/>
        </w:rPr>
        <w:t>Ghi nhận vấn đề đơn vị không đồng nhất</w:t>
      </w:r>
      <w:r>
        <w:t xml:space="preserve"> giữa các phòng xét nghiệm Việt Nam, gây phân loại sai nghiêm trọng ngay trong tầng luật nếu không chuẩn hóa tường minh.</w:t>
      </w:r>
    </w:p>
    <w:p>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dùng.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commentRangeStart w:id="0"/>
      <w:r>
        <w:rPr>
          <w:rFonts w:ascii="Times New Roman" w:hAnsi="Times New Roman" w:eastAsia="Times New Roman" w:cs="Times New Roman"/>
        </w:rPr>
        <w:t>2.1. Mô hình ngôn ngữ diễn giải kết quả cho bệnh nhân</w:t>
      </w:r>
      <w:commentRangeEnd w:id="0"/>
      <w:r>
        <w:rPr>
          <w:rStyle w:val="36"/>
          <w:rFonts w:ascii="Times New Roman" w:hAnsi="Times New Roman" w:eastAsia="Times New Roman" w:cs="Times New Roman"/>
          <w:b w:val="0"/>
          <w:bCs w:val="0"/>
        </w:rPr>
        <w:commentReference w:id="0"/>
      </w:r>
    </w:p>
    <w:p>
      <w:pPr>
        <w:spacing w:after="120" w:line="360" w:lineRule="auto"/>
        <w:ind w:firstLine="567"/>
        <w:jc w:val="both"/>
      </w:pPr>
      <w:r>
        <w:t>Nghiên cứu gần nhất với bài này đánh giá xem các mô hình phổ thông có trả lời được câu hỏi của bệnh nhân về kết quả xét nghiệm hay không. He và cộng sự so sánh câu trả lời của mô hình với câu trả lời của người dùng khác trên 53 cặp hỏi đáp lấy từ một diễn đàn, đánh giá theo bốn tiêu chí: liên quan, chính xác, hữu ích và mức độ gây hại; GPT-4 vượt trội so với các mô hình mã nguồn mở nhỏ hơn. Một nghiên cứu tương tự trong lĩnh vực chẩn đoán hình ảnh đo độ dễ đọc, độ dễ hiểu, cách dùng ngôn ngữ thể hiện sự không chắc chắn, và khả năng gây lo lắng trên nhiều mô hình.</w:t>
      </w:r>
    </w:p>
    <w:p>
      <w:pPr>
        <w:spacing w:after="120" w:line="360" w:lineRule="auto"/>
        <w:ind w:firstLine="567"/>
        <w:jc w:val="both"/>
      </w:pPr>
      <w:r>
        <w:t>Các đánh giá từ chính giới xét nghiệm y học lại thận trọng hơn. Nhóm công tác về trí tuệ nhân tạo của Liên đoàn Hóa sinh Lâm sàng và Y học Xét nghiệm châu Âu (EFLM) kết luận rằng các mô hình này có thể đưa ra câu trả lời hời hợt hoặc sai về kết quả xét nghiệm, và không thể dùng cho mục đích chẩn đoán. Trên 30 câu hỏi diễn giải do bác sĩ đặt ra, GPT-4 trả lời đúng 46,7%, đúng một phần 23,3%, và sai hoặc lạc đề 30%. Những đánh giá này nhắm vào người dùng là bác sĩ; trường hợp người dùng là bệnh nhân còn rủi ro hơn, vì họ ít có cơ sở để nhận ra một câu trả lời sai.</w:t>
      </w:r>
    </w:p>
    <w:p>
      <w:pPr>
        <w:spacing w:after="120" w:line="360" w:lineRule="auto"/>
        <w:ind w:firstLine="567"/>
        <w:jc w:val="both"/>
      </w:pPr>
      <w:r>
        <w:rPr>
          <w:b/>
        </w:rPr>
        <w:t>Khoảng trống nghiên cứu.</w:t>
      </w:r>
      <w:r>
        <w:t xml:space="preserve"> Các nghiên cứu trên hướng tới độ dễ đọc và độ chính xác chung.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567"/>
        <w:jc w:val="both"/>
      </w:pPr>
      <w:r>
        <w:t>Tiền đề rằng bệnh nhân không tự đọc hiểu được phiếu xét nghiệm có cơ sở vững ở Việt Nam. Một nghiên cứu cắt ngang trên 204 người cao tuổi tại Đà Nẵng ghi nhận 60,3% có năng lực hiểu biết sức khỏe chung không đầy đủ; người ở đô thị cao gấp 2,4 lần người ở nông thôn, và trình độ học vấn là yếu tố quyết định mạnh. Các nghiên cứu trước trên người cao tuổi Việt Nam cho kết quả tương tự.</w:t>
      </w:r>
    </w:p>
    <w:p>
      <w:pPr>
        <w:spacing w:after="120" w:line="360" w:lineRule="auto"/>
        <w:ind w:firstLine="567"/>
        <w:jc w:val="both"/>
      </w:pPr>
      <w:r>
        <w:t>Một khảo sát quốc gia gần đây cho thấy một kết hợp đặc biệt liên quan đến bài này: eHealth literacy cao đi cùng health literacy chung thấp ở người trưởng thành có kết nối số,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567"/>
        <w:jc w:val="both"/>
      </w:pPr>
      <w:r>
        <w:t>Giải mã có ràng buộc văn phạm (grammar-constrained decoding) hạn chế phân bố token ở mỗi bước sao cho chỉ những chuỗi tuân theo văn phạm mới sinh ra được, và sinh văn bản theo schema nay đã là giao diện chuẩn để lấy đầu ra máy đọc được.</w:t>
      </w:r>
    </w:p>
    <w:p>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567"/>
        <w:jc w:val="both"/>
      </w:pPr>
      <w:r>
        <w:t>Vấn đề đơn vị không đồng nhất mà chúng tôi gặp phải đã được biết đến ở quy mô lớn hơn. Từ 6% đến 19% xét nghiệm không ánh xạ chính xác được sang LOINC, với đơn vị thiếu hoặc sai nằm trong số các trở ngại lặp lại; một phân tích trên hơn 163 triệu kết quả đã gắn mã LOINC tìm thấy 2.019 cách viết đơn vị khác nhau, rút xuống còn khoảng 40 đơn vị chuẩn sau khi hài hòa hóa.</w:t>
      </w:r>
    </w:p>
    <w:p>
      <w:pPr>
        <w:spacing w:after="120" w:line="360" w:lineRule="auto"/>
        <w:ind w:firstLine="567"/>
        <w:jc w:val="both"/>
      </w:pPr>
      <w:r>
        <w:t>Tài liệu này coi sự không đồng nhất về đơn vị là trở ngại cho việc tổng hợp dữ liệu và phân tích thứ cấp. Quan sát của chúng tôi là nó còn là vấn đề an toàn bệnh nhân theo nghĩa lâm sàng trực tiếp. Trong quy trình của chúng tôi, so sánh một giá trị chưa quy đổi với khoảng tham chiếu ghi bằng đơn vị khác đã tạo ra phân loại sai nghiêm trọng cho một kết quả bình thường, và sai ngay bên trong tầng xác định mà toàn bộ phần còn lại của kiến trúc tin cậy vào. Lập luận ủng hộ chuẩn hóa thường được nêu dưới góc độ tái sử dụng dữ liệu cho nghiên cứu; chúng tôi đóng góp một mẩu bằng chứng rằng nó còn ảnh hưởng đến điều mà bệnh nhân được nghe về kết quả của chính mình.</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w:t>
      </w:r>
    </w:p>
    <w:p>
      <w:pPr>
        <w:spacing w:after="120" w:line="360" w:lineRule="auto"/>
        <w:ind w:firstLine="567"/>
        <w:jc w:val="both"/>
      </w:pPr>
      <w:r>
        <w:t>Hình 1 minh họa bốn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bốn tầng. Phán đoán lâm sàng (Tầng 2) hoàn tất trước khi mô hình ngôn ngữ (Tầng 3) được gọi; Tầng 4 kiểm chứng văn bản sinh ra so với nhãn của Tầng 2.</w:t>
      </w:r>
    </w:p>
    <w:p>
      <w:pPr>
        <w:pStyle w:val="3"/>
        <w:spacing w:after="80" w:line="312" w:lineRule="auto"/>
      </w:pPr>
      <w:r>
        <w:rPr>
          <w:rFonts w:ascii="Times New Roman" w:hAnsi="Times New Roman" w:eastAsia="Times New Roman" w:cs="Times New Roman"/>
        </w:rPr>
        <w:t>Tầng 1 — Chuẩn hóa tên và đơn vị</w:t>
      </w:r>
    </w:p>
    <w:p>
      <w:pPr>
        <w:spacing w:after="120" w:line="360" w:lineRule="auto"/>
        <w:ind w:firstLine="567"/>
        <w:jc w:val="both"/>
      </w:pPr>
      <w:r>
        <w:t xml:space="preserve">Các phòng xét nghiệm Việt Nam gọi tên cùng một chỉ số theo nhiều cách khác nhau: số lượng bạch cầu có thể xuất hiện là </w:t>
      </w:r>
      <w:r>
        <w:rPr>
          <w:i/>
        </w:rPr>
        <w:t>WBC</w:t>
      </w:r>
      <w:r>
        <w:t xml:space="preserve">, viết tắt tiếng Việt </w:t>
      </w:r>
      <w:r>
        <w:rPr>
          <w:i/>
        </w:rPr>
        <w:t>SLBC</w:t>
      </w:r>
      <w:r>
        <w:t xml:space="preserve">, cụm tiếng Việt đầy đủ, hoặc </w:t>
      </w:r>
      <w:r>
        <w:rPr>
          <w:i/>
        </w:rPr>
        <w:t>* WBC</w:t>
      </w:r>
      <w:r>
        <w:t xml:space="preserve">. Tỷ lệ phần trăm và số lượng tuyệt đối chỉ phân biệt bằng ký hiệu </w:t>
      </w:r>
      <w:r>
        <w:rPr>
          <w:i/>
        </w:rPr>
        <w:t>%</w:t>
      </w:r>
      <w:r>
        <w:t xml:space="preserve"> hoặc </w:t>
      </w:r>
      <w:r>
        <w:rPr>
          <w:i/>
        </w:rPr>
        <w:t>#</w:t>
      </w:r>
      <w:r>
        <w:t>, và ký hiệu này có thể đứng trước hoặc sau tên chỉ số (</w:t>
      </w:r>
      <w:r>
        <w:rPr>
          <w:i/>
        </w:rPr>
        <w:t>NEUT%</w:t>
      </w:r>
      <w:r>
        <w:t xml:space="preserve"> so với </w:t>
      </w:r>
      <w:r>
        <w:rPr>
          <w:i/>
        </w:rPr>
        <w:t>% Neu</w:t>
      </w:r>
      <w:r>
        <w:t xml:space="preserve">). Tầng 1 ánh xạ chúng về mã chuẩn qua một từ điển bí danh. Cách chuẩn hóa ngây thơ, tức là xóa hết dấu câu, sẽ làm </w:t>
      </w:r>
      <w:r>
        <w:rPr>
          <w:i/>
        </w:rPr>
        <w:t>NEUT%</w:t>
      </w:r>
      <w:r>
        <w:t xml:space="preserve"> và </w:t>
      </w:r>
      <w:r>
        <w:rPr>
          <w:i/>
        </w:rPr>
        <w:t>NEUT#</w:t>
      </w:r>
      <w:r>
        <w:t xml:space="preserve"> gộp thành một khóa, nên các ký hiệu này được giữ lại thành token tường minh.</w:t>
      </w:r>
    </w:p>
    <w:p>
      <w:pPr>
        <w:spacing w:after="120" w:line="360" w:lineRule="auto"/>
        <w:ind w:firstLine="567"/>
        <w:jc w:val="both"/>
      </w:pPr>
      <w:r>
        <w:t xml:space="preserve">Đơn vị thì hệ quả nặng hơn nhiều. Huyết sắc tố được một số phòng xét nghiệm báo bằng </w:t>
      </w:r>
      <w:r>
        <w:rPr>
          <w:i/>
        </w:rPr>
        <w:t>g/L</w:t>
      </w:r>
      <w:r>
        <w:t xml:space="preserve"> và số khác bằng </w:t>
      </w:r>
      <w:r>
        <w:rPr>
          <w:i/>
        </w:rPr>
        <w:t>g/dL</w:t>
      </w:r>
      <w:r>
        <w:t xml:space="preserve">, chênh nhau mười lần. So sánh một giá trị </w:t>
      </w:r>
      <w:r>
        <w:rPr>
          <w:i/>
        </w:rPr>
        <w:t>g/dL</w:t>
      </w:r>
      <w:r>
        <w:t xml:space="preserve"> với khoảng tham chiếu </w:t>
      </w:r>
      <w:r>
        <w:rPr>
          <w:i/>
        </w:rPr>
        <w:t>g/L</w:t>
      </w:r>
      <w:r>
        <w:t xml:space="preserve"> sẽ đẩy một kết quả bình thường ra </w:t>
      </w:r>
      <w:commentRangeStart w:id="1"/>
      <w:r>
        <w:t>rất xa khoảng</w:t>
      </w:r>
      <w:commentRangeEnd w:id="1"/>
      <w:r>
        <w:rPr>
          <w:rStyle w:val="36"/>
        </w:rPr>
        <w:commentReference w:id="1"/>
      </w:r>
      <w:r>
        <w:t>, tạo cảnh báo giả ở mức nghiêm trọng, ngay trong tầng luật mà kiến trúc dựa vào để đảm bảo tính đúng đắn.</w:t>
      </w:r>
    </w:p>
    <w:p>
      <w:pPr>
        <w:spacing w:after="120" w:line="360" w:lineRule="auto"/>
        <w:ind w:firstLine="567"/>
        <w:jc w:val="both"/>
      </w:pPr>
      <w:r>
        <w:t>Vì vậy Tầng 1 quy đổi mọi giá trị về đơn vị chuẩn, và từ chối xử lý một chỉ số khi đơn vị không nhận ra được, hoặc khi phiếu thiếu đơn vị mà chỉ số đó có nhiều đơn vị khác nhau về bậc độ lớn. Các chỉ số bị từ chối được báo cáo riêng và không tính vào nhãn tổng thể của phiếu. Hệ thống không bao giờ đoán.</w:t>
      </w:r>
    </w:p>
    <w:p>
      <w:pPr>
        <w:pStyle w:val="3"/>
        <w:spacing w:after="80" w:line="312" w:lineRule="auto"/>
      </w:pPr>
      <w:r>
        <w:rPr>
          <w:rFonts w:ascii="Times New Roman" w:hAnsi="Times New Roman" w:eastAsia="Times New Roman" w:cs="Times New Roman"/>
        </w:rPr>
        <w:t>Tầng 2 — Phân loại bằng luật</w:t>
      </w:r>
    </w:p>
    <w:p>
      <w:pPr>
        <w:spacing w:after="120" w:line="360" w:lineRule="auto"/>
        <w:ind w:firstLine="567"/>
        <w:jc w:val="both"/>
      </w:pPr>
      <w:r>
        <w:t>Mỗi giá trị đã chuẩn hóa được so với khoảng tham chiếu của nó và gán một trong ba nhãn: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jc w:val="center"/>
            </w:pPr>
            <w:commentRangeStart w:id="2"/>
            <w:r>
              <w:rPr>
                <w:b/>
                <w:sz w:val="24"/>
              </w:rPr>
              <w:t>Nhãn</w:t>
            </w:r>
          </w:p>
        </w:tc>
        <w:tc>
          <w:tcPr>
            <w:tcW w:w="4535" w:type="dxa"/>
          </w:tcPr>
          <w:p>
            <w:pPr>
              <w:spacing w:before="40" w:after="40" w:line="240" w:lineRule="auto"/>
              <w:jc w:val="center"/>
            </w:pPr>
            <w:r>
              <w:rPr>
                <w:b/>
                <w:sz w:val="24"/>
              </w:rPr>
              <w:t>Điều kiện</w:t>
            </w:r>
            <w:commentRangeEnd w:id="2"/>
            <w:r>
              <w:rPr>
                <w:rStyle w:val="36"/>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567"/>
        <w:jc w:val="both"/>
      </w:pPr>
      <w:r>
        <w:t>Nhãn của cả phiếu là nhãn nghiêm trọng nhất trong các chỉ số.</w:t>
      </w:r>
    </w:p>
    <w:p>
      <w:pPr>
        <w:spacing w:after="120" w:line="360" w:lineRule="auto"/>
        <w:ind w:firstLine="567"/>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567"/>
        <w:jc w:val="both"/>
      </w:pPr>
      <w:r>
        <w:t xml:space="preserve">Ngưỡng phân biệt theo dõi với nên khám sớm được định nghĩa riêng cho từng chỉ số theo công thức </w:t>
      </w:r>
      <w:r>
        <w:rPr>
          <w:i/>
        </w:rPr>
        <w:t>ngưỡng = severity_factor × (cao − thấp)</w:t>
      </w:r>
      <w:r>
        <w:t xml:space="preserve">, trong đó cao và thấp là hai đầu của khoảng tham chiếu, còn </w:t>
      </w:r>
      <w:r>
        <w:rPr>
          <w:i/>
        </w:rPr>
        <w:t>severity_factor</w:t>
      </w:r>
      <w:r>
        <w:t xml:space="preserve"> nằm trong khoảng 0,15–0,50 tùy chỉ số (22 chỉ số dùng trong nghiên cứu này). Các hệ số này được đặt theo kinh nghiệm cho nghiên cứu này, chứ không suy ra từ dữ liệu lâm sàng thật hay danh mục giá trị nguy kịch của phòng xét nghiệm nào. Phần Hạn chế (mục 7) bàn thêm về lựa chọn này.</w:t>
      </w:r>
    </w:p>
    <w:p>
      <w:pPr>
        <w:pStyle w:val="3"/>
        <w:spacing w:after="80" w:line="312" w:lineRule="auto"/>
      </w:pPr>
      <w:r>
        <w:rPr>
          <w:rFonts w:ascii="Times New Roman" w:hAnsi="Times New Roman" w:eastAsia="Times New Roman" w:cs="Times New Roman"/>
        </w:rPr>
        <w:t>Tầng 3 — Sinh văn bản có ràng buộc</w:t>
      </w:r>
    </w:p>
    <w:p>
      <w:pPr>
        <w:spacing w:after="120" w:line="360" w:lineRule="auto"/>
        <w:ind w:firstLine="567"/>
        <w:jc w:val="both"/>
      </w:pPr>
      <w:r>
        <w:t>Prompt đưa cho mô hình chứa, với mỗi chỉ số: giá trị, khoảng tham chiếu, chiều lệch và mức độ đã được xác định sẵn, cùng mô tả chức năng của chỉ số bằng ngôn ngữ đời thường. Ba lớp ràng buộc được áp dụng:</w:t>
      </w:r>
    </w:p>
    <w:p>
      <w:pPr>
        <w:pStyle w:val="23"/>
        <w:spacing w:after="120" w:line="360" w:lineRule="auto"/>
        <w:jc w:val="both"/>
      </w:pPr>
      <w:r>
        <w:rPr>
          <w:b/>
        </w:rPr>
        <w:t>Ràng buộc đầu vào</w:t>
      </w:r>
      <w:r>
        <w:t xml:space="preserve"> — không để lại cơ hội nào cho việc tự đánh giá: mô hình được cho nhãn, không được yêu cầu suy ra nhãn.</w:t>
      </w:r>
    </w:p>
    <w:p>
      <w:pPr>
        <w:pStyle w:val="23"/>
        <w:spacing w:after="120" w:line="360" w:lineRule="auto"/>
        <w:jc w:val="both"/>
      </w:pPr>
      <w:r>
        <w:rPr>
          <w:b/>
        </w:rPr>
        <w:t>Ràng buộc nội dung</w:t>
      </w:r>
      <w:r>
        <w:t xml:space="preserve"> — cấm gọi tên bệnh, cấm quy nguyên nhân, cấm nhắc đến thuốc, liều lượng hay cách điều trị.</w:t>
      </w:r>
    </w:p>
    <w:p>
      <w:pPr>
        <w:pStyle w:val="23"/>
        <w:spacing w:after="120" w:line="360" w:lineRule="auto"/>
        <w:jc w:val="both"/>
      </w:pPr>
      <w:r>
        <w:rPr>
          <w:b/>
        </w:rPr>
        <w:t>Ràng buộc đầu ra</w:t>
      </w:r>
      <w:r>
        <w:t xml:space="preserve"> — bắt buộc theo một schema JSON cố định, nhờ đó mới kiểm tra tự động được.</w:t>
      </w:r>
    </w:p>
    <w:p>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nó ra dịch vụ bên ngoài. Một mô hình đủ nhỏ để chạy trên phần cứng CPU thông thường loại bỏ cả mối lo về quyền riêng tư lẫn yêu cầu đầu tư GPU.</w:t>
      </w:r>
    </w:p>
    <w:p>
      <w:pPr>
        <w:pStyle w:val="3"/>
        <w:spacing w:after="80" w:line="312" w:lineRule="auto"/>
      </w:pPr>
      <w:r>
        <w:rPr>
          <w:rFonts w:ascii="Times New Roman" w:hAnsi="Times New Roman" w:eastAsia="Times New Roman" w:cs="Times New Roman"/>
        </w:rPr>
        <w:t>Tầng 4 — Kiểm chứng sau sinh</w:t>
      </w:r>
    </w:p>
    <w:p>
      <w:pPr>
        <w:spacing w:after="120" w:line="360" w:lineRule="auto"/>
        <w:ind w:firstLine="567"/>
        <w:jc w:val="both"/>
      </w:pPr>
      <w:r>
        <w:t>Bộ kiểm chứng đối chiếu từng mục sinh ra với nhãn của Tầng 2:</w:t>
      </w:r>
    </w:p>
    <w:p>
      <w:pPr>
        <w:pStyle w:val="23"/>
        <w:spacing w:after="120" w:line="360" w:lineRule="auto"/>
        <w:jc w:val="both"/>
      </w:pPr>
      <w:r>
        <w:t>Chiều lệch nêu trong văn bản có khớp chiều đã gán không</w:t>
      </w:r>
    </w:p>
    <w:p>
      <w:pPr>
        <w:pStyle w:val="23"/>
        <w:spacing w:after="120" w:line="360" w:lineRule="auto"/>
        <w:jc w:val="both"/>
      </w:pPr>
      <w:r>
        <w:t>Có xuất hiện từ khóa cấm không</w:t>
      </w:r>
    </w:p>
    <w:p>
      <w:pPr>
        <w:pStyle w:val="23"/>
        <w:spacing w:after="120" w:line="360" w:lineRule="auto"/>
        <w:jc w:val="both"/>
      </w:pPr>
      <w:r>
        <w:t>Mọi chỉ số đầu vào có được nhắc đến không</w:t>
      </w:r>
    </w:p>
    <w:p>
      <w:pPr>
        <w:pStyle w:val="23"/>
        <w:spacing w:after="120" w:line="360" w:lineRule="auto"/>
        <w:jc w:val="both"/>
      </w:pPr>
      <w:r>
        <w:t>Có chỉ số nào không có trong đầu vào bị đưa thêm vào không</w:t>
      </w:r>
    </w:p>
    <w:p>
      <w:pPr>
        <w:spacing w:after="120" w:line="360" w:lineRule="auto"/>
        <w:ind w:firstLine="567"/>
        <w:jc w:val="both"/>
      </w:pPr>
      <w:r>
        <w:t>Ngoài ra nó kiểm tra câu kết xem có trấn an sai không, tức khẳng định mọi kết quả đều bình thường trên một phiếu không bình thường.</w:t>
      </w:r>
    </w:p>
    <w:p>
      <w:pPr>
        <w:spacing w:after="120" w:line="360" w:lineRule="auto"/>
        <w:ind w:firstLine="567"/>
        <w:jc w:val="both"/>
      </w:pPr>
      <w:r>
        <w:t>Đầu ra không qua kiểm chứng sẽ được sinh lại, đến một giới hạn số lần, sau đó hệ thống phát ra bản mẫu cố định ghi giá trị, khoảng tham chiếu và nhãn đã gán. Nhờ vậy quy trình không bao giờ trả về văn bản chưa được kiểm chứng.</w:t>
      </w:r>
    </w:p>
    <w:p>
      <w:pPr>
        <w:spacing w:after="120" w:line="360" w:lineRule="auto"/>
        <w:ind w:firstLine="567"/>
        <w:jc w:val="both"/>
      </w:pPr>
      <w:r>
        <w:t>Trước khi khớp mẫu, văn bản sinh ra được chuẩn hóa bằng cách bỏ dấu tiếng Việt và chuyển thành chữ thường. Các cụm chỉ khoảng tham chiếu chứ không phải lời khẳng định trạng thái, ví dụ "cao hơn mức bình thường", được gỡ bỏ khi chúng đứng sau một từ so sánh, để chữ "bình thường" bên trong không bị hiểu nhầm thành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567"/>
        <w:jc w:val="both"/>
      </w:pPr>
      <w:r>
        <w:t>Chúng tôi đánh giá trên 150 phiếu công thức máu tổng hợp thay vì hồ sơ lâm sàng. Dữ liệu tổng hợp ở đây là bắt buộc chứ không chỉ là tiện lợi:</w:t>
      </w:r>
    </w:p>
    <w:p>
      <w:pPr>
        <w:pStyle w:val="23"/>
        <w:spacing w:after="120" w:line="360" w:lineRule="auto"/>
        <w:jc w:val="both"/>
      </w:pPr>
      <w:r>
        <w:t>Đo tính nhất quán đòi hỏi nhãn đúng biết trước, mà phiếu thật không kèm theo.</w:t>
      </w:r>
    </w:p>
    <w:p>
      <w:pPr>
        <w:pStyle w:val="23"/>
        <w:spacing w:after="120" w:line="360" w:lineRule="auto"/>
        <w:jc w:val="both"/>
      </w:pPr>
      <w:r>
        <w:t>Nó cho phép thiết kế cân bằng, các lớp mức độ có số lượng ngang nhau, trong khi phiếu thật đa số là bình thường và sẽ cho rất ít ca bất thường để kiểm thử.</w:t>
      </w:r>
    </w:p>
    <w:p>
      <w:pPr>
        <w:pStyle w:val="23"/>
        <w:spacing w:after="120" w:line="360" w:lineRule="auto"/>
        <w:jc w:val="both"/>
      </w:pPr>
      <w:r>
        <w:t>Nó tránh hoàn toàn việc xử lý dữ liệu bệnh nhân.</w:t>
      </w:r>
    </w:p>
    <w:p>
      <w:pPr>
        <w:spacing w:after="120" w:line="360" w:lineRule="auto"/>
        <w:ind w:firstLine="567"/>
        <w:jc w:val="both"/>
      </w:pPr>
      <w:r>
        <w:t>Mỗi phiếu chứa 10–18 chỉ số, chia đều giữa ba lớp bình thường, theo dõi và khám sớm, sinh ra bằng cách chọn ngẫu nhiên bí danh và đơn vị để Tầng 1 được kiểm thử thật sự. Việc làm tròn được áp dụng đúng như cách phòng xét nghiệm in ra, và phiếu nào sau khi làm tròn không còn khớp lớp đích thì bị loại bỏ và sinh lại.</w:t>
      </w:r>
    </w:p>
    <w:p>
      <w:pPr>
        <w:pStyle w:val="3"/>
        <w:spacing w:after="80" w:line="312" w:lineRule="auto"/>
      </w:pPr>
      <w:r>
        <w:rPr>
          <w:rFonts w:ascii="Times New Roman" w:hAnsi="Times New Roman" w:eastAsia="Times New Roman" w:cs="Times New Roman"/>
        </w:rPr>
        <w:t>4.2. Ba cấu hình so sánh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commentRangeStart w:id="3"/>
            <w:r>
              <w:rPr>
                <w:b/>
                <w:sz w:val="24"/>
              </w:rPr>
              <w:t>Cấu hình</w:t>
            </w:r>
          </w:p>
        </w:tc>
        <w:tc>
          <w:tcPr>
            <w:tcW w:w="4535" w:type="dxa"/>
          </w:tcPr>
          <w:p>
            <w:pPr>
              <w:spacing w:before="40" w:after="40" w:line="240" w:lineRule="auto"/>
              <w:jc w:val="center"/>
            </w:pPr>
            <w:r>
              <w:rPr>
                <w:b/>
                <w:sz w:val="24"/>
              </w:rPr>
              <w:t>Mô tả</w:t>
            </w:r>
            <w:commentRangeEnd w:id="3"/>
            <w:r>
              <w:rPr>
                <w:rStyle w:val="36"/>
              </w:rP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ba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567"/>
        <w:jc w:val="both"/>
      </w:pPr>
      <w:r>
        <w:t>Mọi chỉ số được tính theo từng phiếu bởi bộ kiểm chứng Tầng 4.</w:t>
      </w:r>
    </w:p>
    <w:p>
      <w:pPr>
        <w:pStyle w:val="23"/>
        <w:spacing w:after="120" w:line="360" w:lineRule="auto"/>
        <w:jc w:val="both"/>
      </w:pPr>
      <w:r>
        <w:rPr>
          <w:b/>
        </w:rPr>
        <w:t>Đầu ra an toàn</w:t>
      </w:r>
      <w:r>
        <w:t xml:space="preserve"> — tỷ lệ phiếu có đầu ra cuối cùng qua được kiểm chứng, tính cả phiếu dùng bản mẫu dự phòng.</w:t>
      </w:r>
    </w:p>
    <w:p>
      <w:pPr>
        <w:pStyle w:val="23"/>
        <w:spacing w:after="120" w:line="360" w:lineRule="auto"/>
        <w:jc w:val="both"/>
      </w:pPr>
      <w:r>
        <w:rPr>
          <w:b/>
        </w:rPr>
        <w:t>Mô hình tự đạt</w:t>
      </w:r>
      <w:r>
        <w:t xml:space="preserve"> — chỉ tính phiếu mà chính mô hình sinh ra được nội dung đạt yêu cầu.</w:t>
      </w:r>
    </w:p>
    <w:p>
      <w:pPr>
        <w:pStyle w:val="23"/>
        <w:spacing w:after="120" w:line="360" w:lineRule="auto"/>
        <w:jc w:val="both"/>
      </w:pPr>
      <w:r>
        <w:t>Các chỉ số còn lại đếm số phiếu có ít nhất một trường hợp: trấn an sai, sai chiều lệch, dùng thuật ngữ bị cấm, bịa chỉ số, bỏ sót chỉ số.</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 xml:space="preserve">Bảng </w:t>
      </w:r>
      <w:r>
        <w:rPr>
          <w:b/>
          <w:color w:val="FF0000"/>
        </w:rPr>
        <w:t>3</w:t>
      </w:r>
      <w:r>
        <w:rPr>
          <w:b/>
        </w:rPr>
        <w:t>. So sánh ba cấu hình trên 150 phiếu tổng hợp (%). Cột lỗi càng thấp càng tốt.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26"/>
        <w:gridCol w:w="1124"/>
        <w:gridCol w:w="1125"/>
        <w:gridCol w:w="1126"/>
        <w:gridCol w:w="1123"/>
        <w:gridCol w:w="1123"/>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567"/>
        <w:jc w:val="both"/>
      </w:pPr>
      <w:commentRangeStart w:id="4"/>
      <w:r>
        <w:t>Mọi chỉ số lỗi đều giảm đơn điệu qua ba cấu hình.</w:t>
      </w:r>
      <w:commentRangeEnd w:id="4"/>
      <w:r>
        <w:rPr>
          <w:rStyle w:val="36"/>
        </w:rPr>
        <w:commentReference w:id="4"/>
      </w:r>
    </w:p>
    <w:p>
      <w:pPr>
        <w:pStyle w:val="3"/>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567"/>
        <w:jc w:val="both"/>
      </w:pPr>
      <w:r>
        <w:t>Cấu hình baseline không tạo ra đầu ra đạt yêu cầu nào trên cả 150 phiếu. Nó nói sai chiều lệch của ít nhất một chỉ số ở 91,3% số phiếu, và dùng thuật ngữ lâm sàng bị cấm ở 79,3%. Trên các phiếu có kết quả bất thường, nó khẳng định mọi kết quả đều bình thường ở 32,0% số ca. Nghĩa là cứ khoảng ba bệnh nhân thì một người bị nói sai rằng không có gì cần quan tâm.</w:t>
      </w:r>
    </w:p>
    <w:p>
      <w:pPr>
        <w:pStyle w:val="3"/>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567"/>
        <w:jc w:val="both"/>
      </w:pPr>
      <w:r>
        <w:t>Cung cấp nhãn có sẵn giúp giảm sai chiều lệch từ 91,3% xuống 12,7% và trấn an sai từ 32,0% xuống 8,0%. Tuy vậy 52,0% đầu ra của constrained vẫn không qua kiểm chứng. Dặn dò không đảm bảo tuân thủ, đó là lý do cần một bước kiểm chứng bằng máy.</w:t>
      </w:r>
    </w:p>
    <w:p>
      <w:pPr>
        <w:pStyle w:val="3"/>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567"/>
        <w:jc w:val="both"/>
      </w:pPr>
      <w:r>
        <w:t>Cấu hình full qua kiểm chứng trên cả 150 phiếu. Con số này cần được nói rõ: 64,0% số phiếu do mô hình sinh ra, còn 36,0% rơi về bản mẫu cố định sau khi sinh lại thất bại. Đảm bảo an toàn là thuộc tính của quy trình, không phải bằng chứng rằng mô hình 3B làm được việc này một cách đáng tin cậy.</w:t>
      </w:r>
    </w:p>
    <w:p>
      <w:pPr>
        <w:spacing w:after="120" w:line="360" w:lineRule="auto"/>
        <w:ind w:firstLine="567"/>
        <w:jc w:val="both"/>
      </w:pPr>
      <w:r>
        <w:t>Tỷ lệ mô hình tự đạt ở full là 64,0%, cao hơn 48,0% của constrained, cho thấy cơ chế sinh lại cứu được một phần đáng kể những đầu ra thất bại ở lần đầu.</w:t>
      </w:r>
    </w:p>
    <w:p>
      <w:pPr>
        <w:pStyle w:val="3"/>
        <w:spacing w:after="80" w:line="312" w:lineRule="auto"/>
      </w:pPr>
      <w:r>
        <w:rPr>
          <w:rFonts w:ascii="Times New Roman" w:hAnsi="Times New Roman" w:eastAsia="Times New Roman" w:cs="Times New Roman"/>
        </w:rPr>
        <w:t>Định dạng và chi phí</w:t>
      </w:r>
    </w:p>
    <w:p>
      <w:pPr>
        <w:spacing w:after="120" w:line="360" w:lineRule="auto"/>
        <w:ind w:firstLine="567"/>
        <w:jc w:val="both"/>
      </w:pPr>
      <w:r>
        <w:t>Ở baseline, 97,3% đầu ra gọi tên chỉ số bằng tên hiển thị thay vì mã chuẩn, và 2,0% không phân tích cú pháp được; cả hai đều về 0 khi áp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567"/>
        <w:jc w:val="both"/>
      </w:pPr>
      <w:r>
        <w:t>Thời gian xử lý trung bình là 38,9 giây ở baseline, 35,8 giây ở constrained, và 68,3 giây ở full, với trung bình 1,97 lần sinh ở cấu hình cuối. An toàn phải trả giá khoảng gấp đôi về độ trễ. Mọi phép đo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 và các công việc trong tương lai</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567"/>
        <w:jc w:val="both"/>
      </w:pPr>
      <w:r>
        <w:t>Kết quả ủng hộ một sự phân công lao động, chứ không phải một cải tiến về cách viết prompt. Cấu hình baseline yêu cầu mô hình làm hai việc cùng lúc: phán đoán từng giá trị và giải thích chúng. Nó thất bại ở việc thứ nhất trên 91,3% số phiếu trong khi vẫn viết văn trôi chảy suốt. Khi chuyển phán đoán sang tầng luật, phân loại trở nên chính xác theo cấu trúc, và mô hình chỉ còn việc diễn đạt lại, việc nó làm ở mức chấp nhận được.</w:t>
      </w:r>
    </w:p>
    <w:p>
      <w:pPr>
        <w:spacing w:after="120" w:line="360" w:lineRule="auto"/>
        <w:ind w:firstLine="567"/>
        <w:jc w:val="both"/>
      </w:pPr>
      <w:r>
        <w:t>Một hệ quả hữu ích là hai thành phần cải thiện độc lập với nhau. Thay các ngưỡng mức độ kinh nghiệm bằng danh mục giá trị nguy hiểm (critical value) của một phòng xét nghiệm sẽ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567"/>
        <w:jc w:val="both"/>
      </w:pPr>
      <w:r>
        <w:t>Các đánh giá về diễn giải cho bệnh nhân thường báo cáo độ dễ đọc và độ chính xác. Không chỉ số nào trong hai chỉ số đó bắt được lỗi mà chúng tôi cho là tai hại nhất. Một câu nói rằng mọi kết quả đều bình thường, đặt trên một phiếu không bình thường, chỉ là một câu giữa nhiều câu, và thậm chí có thể được chấm điểm dễ đọc cao chính vì nó đơn giản và trấn an. Tác hại của nó nằm ở việc nó khiến người đọc không làm gì.</w:t>
      </w:r>
    </w:p>
    <w:p>
      <w:pPr>
        <w:spacing w:after="120" w:line="360" w:lineRule="auto"/>
        <w:ind w:firstLine="567"/>
        <w:jc w:val="both"/>
      </w:pPr>
      <w:r>
        <w:t>Dữ liệu của chúng tôi cho thấy lỗi này không hiếm và không bị loại bỏ bằng việc dặn dò: 32,0% ở baseline, và sau khi đã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không còn.</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567"/>
        <w:jc w:val="both"/>
      </w:pPr>
      <w:r>
        <w:t xml:space="preserve">Thất bại đáng học hỏi nhất gặp trong quá trình phát triển lại xảy ra ở chính tầng mà kiến trúc coi là đáng tin cậy. Tầng 2 là xác định, và phân loại của nó chính xác tuyệt đối, nhưng chỉ đối với những con số nó nhận được. Khi nhận huyết sắc tố đo bằng </w:t>
      </w:r>
      <w:r>
        <w:rPr>
          <w:i/>
        </w:rPr>
        <w:t>g/dL</w:t>
      </w:r>
      <w:r>
        <w:t xml:space="preserve"> rồi so với khoảng tham chiếu </w:t>
      </w:r>
      <w:r>
        <w:rPr>
          <w:i/>
        </w:rPr>
        <w:t>g/L</w:t>
      </w:r>
      <w: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567"/>
        <w:jc w:val="both"/>
      </w:pPr>
      <w:r>
        <w:t>Điều này chuyển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biết từ chối thay vì đoán. Các hệ mã như LOINC và chuẩn trao đổi như HL7 FHIR giải quyết đúng vấn đề này. Quan sát ở đây là một mẩu bằng chứng thực nghiệm ủng hộ việc áp dụng chúng trong báo cáo xét nghiệm ở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567"/>
        <w:jc w:val="both"/>
      </w:pPr>
      <w:r>
        <w:t>Chạy mô hình 3B trên CPU là chậm, 68,3 giây mỗi phiếu ở quy trình đầy đủ, nhưng chấp nhận được với một tác vụ thực hiện một lần cho mỗi phiếu chứ không phải tương tác liên tục. Đổi lại, nó mang đến hai tính chất quan trọng: dữ liệu bệnh nhân không rời khỏi cơ sở y tế, và không cần GPU, nên rào cản phần cứng với một bệnh viện tuyến tỉnh chỉ là chiếc máy họ đã có.</w:t>
      </w:r>
    </w:p>
    <w:p>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3"/>
        <w:spacing w:after="80" w:line="312" w:lineRule="auto"/>
      </w:pPr>
      <w:r>
        <w:rPr>
          <w:rFonts w:ascii="Times New Roman" w:hAnsi="Times New Roman" w:eastAsia="Times New Roman" w:cs="Times New Roman"/>
        </w:rPr>
        <w:t xml:space="preserve">6.5. Hướng phát triển, </w:t>
      </w:r>
      <w:commentRangeStart w:id="5"/>
      <w:r>
        <w:rPr>
          <w:rFonts w:ascii="Times New Roman" w:hAnsi="Times New Roman" w:eastAsia="Times New Roman" w:cs="Times New Roman"/>
          <w:strike/>
          <w:color w:val="FF0000"/>
        </w:rPr>
        <w:t>theo thứ tự ưu tiên</w:t>
      </w:r>
      <w:commentRangeEnd w:id="5"/>
      <w:r>
        <w:rPr>
          <w:rStyle w:val="36"/>
          <w:rFonts w:ascii="Times New Roman" w:hAnsi="Times New Roman" w:eastAsia="Times New Roman" w:cs="Times New Roman"/>
          <w:b w:val="0"/>
          <w:bCs w:val="0"/>
        </w:rPr>
        <w:commentReference w:id="5"/>
      </w:r>
    </w:p>
    <w:p>
      <w:pPr>
        <w:pStyle w:val="29"/>
        <w:spacing w:after="120" w:line="360" w:lineRule="auto"/>
        <w:jc w:val="both"/>
      </w:pPr>
      <w:r>
        <w:rPr>
          <w:b/>
        </w:rPr>
        <w:t>Thẩm định lâm sàng</w:t>
      </w:r>
      <w:r>
        <w:t xml:space="preserve"> là cấp thiết nhất. Đánh giá hiện tại thiết lập tính nhất quán nội tại, không phải sự phù hợp lâm sàng; cần chuyên gia rà soát trước khi có thể tuyên bố bất cứ điều gì về lợi ích cho bệnh nhân.</w:t>
      </w:r>
    </w:p>
    <w:p>
      <w:pPr>
        <w:pStyle w:val="29"/>
        <w:spacing w:after="120" w:line="360" w:lineRule="auto"/>
        <w:jc w:val="both"/>
      </w:pPr>
      <w:r>
        <w:rPr>
          <w:b/>
        </w:rPr>
        <w:t>Thay ngưỡng kinh nghiệm</w:t>
      </w:r>
      <w:r>
        <w:t xml:space="preserve"> bằng danh mục giá trị nguy hiểm đã được thiết lập.</w:t>
      </w:r>
    </w:p>
    <w:p>
      <w:pPr>
        <w:pStyle w:val="29"/>
        <w:spacing w:after="120" w:line="360" w:lineRule="auto"/>
        <w:jc w:val="both"/>
      </w:pPr>
      <w:r>
        <w:rPr>
          <w:b/>
        </w:rPr>
        <w:t>Mở rộng phạm vi</w:t>
      </w:r>
      <w:r>
        <w:t xml:space="preserve"> ra ngoài công thức máu, sang các nhóm xét nghiệm có khoảng tham chiếu một phía và kết quả định tính.</w:t>
      </w:r>
    </w:p>
    <w:p>
      <w:pPr>
        <w:pStyle w:val="29"/>
        <w:spacing w:after="120" w:line="360" w:lineRule="auto"/>
        <w:jc w:val="both"/>
      </w:pPr>
      <w:r>
        <w:rPr>
          <w:b/>
        </w:rPr>
        <w:t>Thêm tầng giọng nói</w:t>
      </w:r>
      <w:r>
        <w:t xml:space="preserve"> phục vụ người cao tuổi và người đọc kém, vì tầng này chỉ tiêu thụ văn bản đã kiểm chứng nên không thể tạo ra lỗi nội dung mới.</w:t>
      </w:r>
    </w:p>
    <w:p>
      <w:pPr>
        <w:pStyle w:val="29"/>
        <w:spacing w:after="120" w:line="360" w:lineRule="auto"/>
        <w:jc w:val="both"/>
      </w:pPr>
      <w:r>
        <w:rPr>
          <w:b/>
        </w:rPr>
        <w:t>Đánh giá trên phiếu thật</w:t>
      </w:r>
      <w:r>
        <w:t xml:space="preserve"> từ nhiều phòng xét nghiệm, để kiểm thử phần chuẩn hóa tên và đơn vị trước mức độ biến thiên mà nghiên cứu này mới chỉ mô phỏng gần đúng.</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567"/>
        <w:jc w:val="both"/>
      </w:pPr>
      <w:r>
        <w:rPr>
          <w:b/>
        </w:rPr>
        <w:t>Chưa có thẩm định lâm sàng.</w:t>
      </w:r>
      <w:r>
        <w:t xml:space="preserve"> Toàn bộ đánh giá là tự động. Không có chuyên gia y tế nào rà soát các lời giải thích sinh ra, nên chúng tôi chỉ có thể khẳng định đầu ra nhất quán nội tại với các nhãn đã gán, chứ không khẳng định chúng phù hợp về mặt lâm sàng hay thực sự dễ hiểu với bệnh nhân.</w:t>
      </w:r>
    </w:p>
    <w:p>
      <w:pPr>
        <w:spacing w:after="120" w:line="360" w:lineRule="auto"/>
        <w:ind w:firstLine="567"/>
        <w:jc w:val="both"/>
      </w:pPr>
      <w:r>
        <w:rPr>
          <w:b/>
        </w:rPr>
        <w:t>Ngưỡng mức độ chưa có căn cứ lâm sàng.</w:t>
      </w:r>
      <w:r>
        <w:t xml:space="preserve">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567"/>
        <w:jc w:val="both"/>
      </w:pPr>
      <w:r>
        <w:rPr>
          <w:b/>
        </w:rPr>
        <w:t>Dữ liệu tổng hợp và kiểm chứng dựa trên khớp mẫu.</w:t>
      </w:r>
      <w: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không phải mọi nội dung không an toàn.</w:t>
      </w:r>
    </w:p>
    <w:p>
      <w:pPr>
        <w:spacing w:after="120" w:line="360" w:lineRule="auto"/>
        <w:ind w:firstLine="567"/>
        <w:jc w:val="both"/>
      </w:pPr>
      <w:r>
        <w:rPr>
          <w:b/>
        </w:rPr>
        <w:t>Phạm vi.</w:t>
      </w:r>
      <w:r>
        <w:t xml:space="preserve"> Chỉ hỗ trợ công thức máu; chưa xử lý sinh hóa, miễn dịch, khoảng tham chiếu một phía và kết quả định tính, và khoảng tham chiếu chưa phân theo giới tính hay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567"/>
        <w:jc w:val="both"/>
      </w:pPr>
      <w:r>
        <w:t>Chúng tôi trình bày một quy trình giải thích kết quả xét nghiệm máu cho bệnh nhân, trong đó mô hình ngôn ngữ không được phép phán đoán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567"/>
        <w:jc w:val="both"/>
      </w:pPr>
      <w:r>
        <w:t>Trên 150 phiếu tổng hợp, trấn an sai giảm từ 32,0% khi không ràng buộc xuống 8,0% khi có ràng buộc prompt, rồi xuống 0 khi có kiểm chứng, và quy trình đầy đủ không tạo ra đầu ra không an toàn nào. Hệ thống chạy trên CPU không cần GPU, giữ dữ liệu xét nghiệm bên trong cơ sở y tế.</w:t>
      </w:r>
    </w:p>
    <w:p>
      <w:pPr>
        <w:pStyle w:val="2"/>
        <w:spacing w:before="280" w:after="120" w:line="312" w:lineRule="auto"/>
      </w:pPr>
      <w:r>
        <w:rPr>
          <w:rFonts w:ascii="Times New Roman" w:hAnsi="Times New Roman" w:eastAsia="Times New Roman" w:cs="Times New Roman"/>
        </w:rPr>
        <w:t>Phụ lục: Đối chiếu thuật ngữ Việt – Anh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pStyle w:val="2"/>
        <w:spacing w:before="280" w:after="120"/>
      </w:pPr>
      <w:commentRangeStart w:id="6"/>
      <w:r>
        <w:rPr>
          <w:rFonts w:ascii="Times New Roman" w:hAnsi="Times New Roman" w:eastAsia="Times New Roman" w:cs="Times New Roman"/>
        </w:rPr>
        <w:t>Tài liệu tham khảo</w:t>
      </w:r>
      <w:commentRangeEnd w:id="6"/>
      <w:r>
        <w:rPr>
          <w:rStyle w:val="36"/>
          <w:rFonts w:ascii="Times New Roman" w:hAnsi="Times New Roman" w:eastAsia="Times New Roman" w:cs="Times New Roman"/>
          <w:b w:val="0"/>
          <w:bCs w:val="0"/>
        </w:rPr>
        <w:commentReference w:id="6"/>
      </w:r>
    </w:p>
    <w:p>
      <w:pPr>
        <w:spacing w:after="80" w:line="288" w:lineRule="auto"/>
        <w:ind w:left="567" w:hanging="567"/>
        <w:jc w:val="both"/>
      </w:pPr>
      <w:r>
        <w:rPr>
          <w:sz w:val="24"/>
        </w:rPr>
        <w:t>[1] Factors associated with health literacy among the elderly people in Vietnam. BioMed Research International 2020, 3490635 (2020)</w:t>
      </w:r>
    </w:p>
    <w:p>
      <w:pPr>
        <w:spacing w:after="80" w:line="288" w:lineRule="auto"/>
        <w:ind w:left="567" w:hanging="567"/>
        <w:jc w:val="both"/>
      </w:pPr>
      <w:bookmarkStart w:id="0" w:name="_GoBack"/>
      <w:r>
        <w:rPr>
          <w:sz w:val="24"/>
        </w:rPr>
        <w:t xml:space="preserve">[2] Bozer, A., Pekçevik, Y.: Comparative evaluation of large language models in explaining </w:t>
      </w:r>
      <w:bookmarkEnd w:id="0"/>
      <w:r>
        <w:rPr>
          <w:sz w:val="24"/>
        </w:rPr>
        <w:t>radiology reports: Expert assessment of readability, understandability, and communication features. Insights into Imaging 16, 232 (2025)</w:t>
      </w:r>
    </w:p>
    <w:p>
      <w:pPr>
        <w:spacing w:after="80" w:line="288" w:lineRule="auto"/>
        <w:ind w:left="567" w:hanging="567"/>
        <w:jc w:val="both"/>
      </w:pPr>
      <w:r>
        <w:rPr>
          <w:sz w:val="24"/>
        </w:rPr>
        <w:t>[3] Cadamuro, J., Cabitza, F., Debeljak, Z., De Bruyne, S., Frans, G., Perez, S.M., và cộng sự: Potentials and pitfalls of ChatGPT and natural-language artificial intelligence models for the understanding of laboratory medicine test results. An assessment by the European Federation of Clinical Chemistry and Laboratory Medicine (EFLM) Working Group on Artificial Intelligence (WG-AI). Clinical Chemistry and Laboratory Medicine 61(7), 1158–1166 (2023)</w:t>
      </w:r>
    </w:p>
    <w:p>
      <w:pPr>
        <w:spacing w:after="80" w:line="288" w:lineRule="auto"/>
        <w:ind w:left="567" w:hanging="567"/>
        <w:jc w:val="both"/>
      </w:pPr>
      <w:r>
        <w:rPr>
          <w:sz w:val="24"/>
        </w:rPr>
        <w:t>[4] Dinh, T.T.H., Bonner, A.: Psychometric properties of the health literacy questionnaire tested in Vietnamese adults with chronic diseases. BMC Public Health 25, 44 (2025)</w:t>
      </w:r>
    </w:p>
    <w:p>
      <w:pPr>
        <w:spacing w:after="80" w:line="288" w:lineRule="auto"/>
        <w:ind w:left="567" w:hanging="567"/>
        <w:jc w:val="both"/>
      </w:pPr>
      <w:r>
        <w:rPr>
          <w:sz w:val="24"/>
        </w:rPr>
        <w:t>[5] Geng, S., Josifoski, M., Peyrard, M., West, R.: Grammar-Constrained Decoding for Structured NLP Tasks without Finetuning. In: Proceedings of the 2023 Conference on Empirical Methods in Natural Language Processing (EMNLP) (2023)</w:t>
      </w:r>
    </w:p>
    <w:p>
      <w:pPr>
        <w:spacing w:after="80" w:line="288" w:lineRule="auto"/>
        <w:ind w:left="567" w:hanging="567"/>
        <w:jc w:val="both"/>
      </w:pPr>
      <w:r>
        <w:rPr>
          <w:sz w:val="24"/>
        </w:rPr>
        <w:t>[6] Giardina, T.D., Baldwin, J., Nystrom, D.T., Sittig, D.F., Singh, H.: Patient perceptions of receiving test results via online portals: a mixed-methods study. Journal of the American Medical Informatics Association 25(4), 440–446 (2018)</w:t>
      </w:r>
    </w:p>
    <w:p>
      <w:pPr>
        <w:spacing w:after="80" w:line="288" w:lineRule="auto"/>
        <w:ind w:left="567" w:hanging="567"/>
        <w:jc w:val="both"/>
      </w:pPr>
      <w:r>
        <w:rPr>
          <w:sz w:val="24"/>
        </w:rPr>
        <w:t>[7] He, Z., Bhasuran, B., Jin, Q., và cộng sự: Quality of Answers of Generative Large Language Models Versus Peer Users for Interpreting Laboratory Test Results for Lay Patients: Evaluation Study. Journal of Medical Internet Research 26, e56655 (2024)</w:t>
      </w:r>
    </w:p>
    <w:p>
      <w:pPr>
        <w:spacing w:after="80" w:line="288" w:lineRule="auto"/>
        <w:ind w:left="567" w:hanging="567"/>
        <w:jc w:val="both"/>
      </w:pPr>
      <w:r>
        <w:rPr>
          <w:sz w:val="24"/>
        </w:rPr>
        <w:t>[8] Munoz-Zuluaga, C., Zhao, Z., Wang, F., Greenblatt, M.B., Yang, H.S.: Assessing the Accuracy and Clinical Utility of ChatGPT in Laboratory Medicine. Clinical Chemistry 69(8), 939–940 (2023)</w:t>
      </w:r>
    </w:p>
    <w:p>
      <w:pPr>
        <w:spacing w:after="80" w:line="288" w:lineRule="auto"/>
        <w:ind w:left="567" w:hanging="567"/>
        <w:jc w:val="both"/>
      </w:pPr>
      <w:r>
        <w:rPr>
          <w:sz w:val="24"/>
        </w:rPr>
        <w:t>[9] Naliyatthaliyazchayil, P., Stenerson, T.: Harmonizing Logical Observation Identifiers Names and Codes (LOINC) Codes and Units in Real-World Oncology Data: Method Development and Evaluation. JMIR Medical Informatics 14, e81254 (2026)</w:t>
      </w:r>
    </w:p>
    <w:p>
      <w:pPr>
        <w:spacing w:after="80" w:line="288" w:lineRule="auto"/>
        <w:ind w:left="567" w:hanging="567"/>
        <w:jc w:val="both"/>
      </w:pPr>
      <w:r>
        <w:rPr>
          <w:sz w:val="24"/>
        </w:rPr>
        <w:t>[10] Nguyen, B.N., Ngo, T.T., và cộng sự: Health and eHealth literacy in Vietnam: Evidence from a National survey. Patient Education and Counseling 148, 109583 (2026)</w:t>
      </w:r>
    </w:p>
    <w:p>
      <w:pPr>
        <w:spacing w:after="80" w:line="288" w:lineRule="auto"/>
        <w:ind w:left="567" w:hanging="567"/>
        <w:jc w:val="both"/>
      </w:pPr>
      <w:r>
        <w:rPr>
          <w:sz w:val="24"/>
        </w:rPr>
        <w:t>[11] Parr, S.K., Shotwell, M.S., Jeffery, A.D., Lasko, T.A., Matheny, M.E.: Automated mapping of laboratory tests to LOINC codes using noisy labels in a national electronic health record system database. Journal of the American Medical Informatics Association 25(10), 1292–1300 (2018)</w:t>
      </w:r>
    </w:p>
    <w:p>
      <w:pPr>
        <w:spacing w:after="80" w:line="288" w:lineRule="auto"/>
        <w:ind w:left="567" w:hanging="567"/>
        <w:jc w:val="both"/>
      </w:pPr>
      <w:r>
        <w:rPr>
          <w:sz w:val="24"/>
        </w:rPr>
        <w:t>[12] Tran, M.T., Lai, H.T., Hoang, H.T., và cộng sự: Health literacy among older adults: A descriptive cross-sectional analysis in Vietnam. Journal of Health Literacy 10(2), 91–100 (2025)</w:t>
      </w:r>
    </w:p>
    <w:p>
      <w:pPr>
        <w:spacing w:after="80" w:line="288" w:lineRule="auto"/>
        <w:ind w:left="567" w:hanging="567"/>
        <w:jc w:val="both"/>
      </w:pPr>
      <w:r>
        <w:rPr>
          <w:sz w:val="24"/>
        </w:rPr>
        <w:t>[13] Willard, B.T., Louf, R.: Efficient Guided Generation for Large Language Models. arXiv preprint arXiv:2307.09702 (2023)</w:t>
      </w:r>
    </w:p>
    <w:p>
      <w:pPr>
        <w:spacing w:after="80" w:line="288" w:lineRule="auto"/>
        <w:ind w:left="567" w:hanging="567"/>
        <w:jc w:val="both"/>
      </w:pPr>
      <w:r>
        <w:rPr>
          <w:sz w:val="24"/>
        </w:rPr>
        <w:t>[14] Zayed, A.M., Sarikakis, I., Delvaux, N.: Automated standardization and harmonization of laboratory units in large-scale clinical data using open-source R functions. International Journal of Medical Informatics 205, 106131 (2025)</w:t>
      </w:r>
    </w:p>
    <w:sectPr>
      <w:pgSz w:w="11906" w:h="16838"/>
      <w:pgMar w:top="1134" w:right="1134" w:bottom="1134"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õ Hoàng Khang" w:date="2026-09-07T22:51:00Z" w:initials="VHK">
    <w:p w14:paraId="44F63036">
      <w:pPr>
        <w:pStyle w:val="16"/>
      </w:pPr>
      <w:r>
        <w:t>Bổ sung TLTK, định dạng theo IEEE. Tìm khoảng 10 TLTK cho phần 2 này.</w:t>
      </w:r>
    </w:p>
  </w:comment>
  <w:comment w:id="1" w:author="Võ Hoàng Khang" w:date="2026-09-07T22:53:00Z" w:initials="VHK">
    <w:p w14:paraId="20AA1A01">
      <w:pPr>
        <w:pStyle w:val="16"/>
      </w:pPr>
      <w:r>
        <w:t>Tối nghĩa</w:t>
      </w:r>
    </w:p>
  </w:comment>
  <w:comment w:id="2" w:author="Võ Hoàng Khang" w:date="2026-09-07T22:55:00Z" w:initials="VHK">
    <w:p w14:paraId="580A7C3E">
      <w:pPr>
        <w:pStyle w:val="16"/>
      </w:pPr>
      <w:r>
        <w:t>Ghi chú thích cho bảng. Vd: Bảng 1. xxx</w:t>
      </w:r>
    </w:p>
  </w:comment>
  <w:comment w:id="3" w:author="Võ Hoàng Khang" w:date="2026-09-07T22:54:00Z" w:initials="VHK">
    <w:p w14:paraId="753E0180">
      <w:pPr>
        <w:pStyle w:val="16"/>
      </w:pPr>
      <w:r>
        <w:t>Ghi chú thích cho bảng. Vd: Bảng 2. xxx</w:t>
      </w:r>
    </w:p>
  </w:comment>
  <w:comment w:id="4" w:author="Võ Hoàng Khang" w:date="2026-09-07T22:56:00Z" w:initials="VHK">
    <w:p w14:paraId="1E33158E">
      <w:pPr>
        <w:pStyle w:val="16"/>
      </w:pPr>
      <w:r>
        <w:t>Giải thích ra thành đoạn văn cho rõ ràng.</w:t>
      </w:r>
    </w:p>
  </w:comment>
  <w:comment w:id="5" w:author="Võ Hoàng Khang" w:date="2026-09-07T22:57:00Z" w:initials="VHK">
    <w:p w14:paraId="663E72F8">
      <w:pPr>
        <w:pStyle w:val="16"/>
      </w:pPr>
      <w:r>
        <w:t>Đem ra sau phần Kết luận</w:t>
      </w:r>
    </w:p>
  </w:comment>
  <w:comment w:id="6" w:author="Võ Hoàng Khang" w:date="2026-09-07T22:58:00Z" w:initials="VHK">
    <w:p w14:paraId="4A1C3E9D">
      <w:pPr>
        <w:pStyle w:val="16"/>
      </w:pPr>
      <w:r>
        <w:t>Làm tự động. Vào References, chọn Manage Sources, khai báo TLTK (nhớ chọn IEEE trước).</w:t>
      </w:r>
    </w:p>
    <w:p w14:paraId="10C42839">
      <w:pPr>
        <w:pStyle w:val="16"/>
      </w:pPr>
      <w:r>
        <w:t>Chỗ này vào Bibliography…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F63036" w15:done="0"/>
  <w15:commentEx w15:paraId="20AA1A01" w15:done="0"/>
  <w15:commentEx w15:paraId="580A7C3E" w15:done="0"/>
  <w15:commentEx w15:paraId="753E0180" w15:done="0"/>
  <w15:commentEx w15:paraId="1E33158E" w15:done="0"/>
  <w15:commentEx w15:paraId="663E72F8" w15:done="0"/>
  <w15:commentEx w15:paraId="10C4283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õ Hoàng Khang">
    <w15:presenceInfo w15:providerId="AD" w15:userId="S::khangvh.ncs@ms.uit.edu.vn::590508d2-d2db-4df9-a703-999004505c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B22"/>
    <w:rsid w:val="00AA1D8D"/>
    <w:rsid w:val="00B47730"/>
    <w:rsid w:val="00C4044A"/>
    <w:rsid w:val="00CB0664"/>
    <w:rsid w:val="00CC4447"/>
    <w:rsid w:val="00CF0E71"/>
    <w:rsid w:val="00FC693F"/>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0"/>
    <w:semiHidden/>
    <w:unhideWhenUsed/>
    <w:uiPriority w:val="99"/>
    <w:pPr>
      <w:spacing w:after="0" w:line="240" w:lineRule="auto"/>
    </w:pPr>
    <w:rPr>
      <w:rFonts w:ascii="Segoe UI" w:hAnsi="Segoe UI" w:cs="Segoe UI"/>
      <w:sz w:val="18"/>
      <w:szCs w:val="18"/>
    </w:rPr>
  </w:style>
  <w:style w:type="paragraph" w:styleId="12">
    <w:name w:val="Body Text"/>
    <w:basedOn w:val="1"/>
    <w:link w:val="148"/>
    <w:unhideWhenUsed/>
    <w:qFormat/>
    <w:uiPriority w:val="99"/>
    <w:pPr>
      <w:spacing w:after="120"/>
    </w:pPr>
  </w:style>
  <w:style w:type="paragraph" w:styleId="13">
    <w:name w:val="Body Text 2"/>
    <w:basedOn w:val="1"/>
    <w:link w:val="149"/>
    <w:unhideWhenUsed/>
    <w:uiPriority w:val="99"/>
    <w:pPr>
      <w:spacing w:after="120" w:line="480" w:lineRule="auto"/>
    </w:pPr>
  </w:style>
  <w:style w:type="paragraph" w:styleId="14">
    <w:name w:val="Body Text 3"/>
    <w:basedOn w:val="1"/>
    <w:link w:val="150"/>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8"/>
    <w:semiHidden/>
    <w:unhideWhenUsed/>
    <w:uiPriority w:val="99"/>
    <w:pPr>
      <w:spacing w:line="240" w:lineRule="auto"/>
    </w:pPr>
    <w:rPr>
      <w:sz w:val="20"/>
      <w:szCs w:val="20"/>
    </w:rPr>
  </w:style>
  <w:style w:type="paragraph" w:styleId="17">
    <w:name w:val="annotation subject"/>
    <w:basedOn w:val="16"/>
    <w:next w:val="16"/>
    <w:link w:val="169"/>
    <w:semiHidden/>
    <w:unhideWhenUsed/>
    <w:uiPriority w:val="99"/>
    <w:rPr>
      <w:b/>
      <w:b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Strong"/>
    <w:basedOn w:val="35"/>
    <w:qFormat/>
    <w:uiPriority w:val="22"/>
    <w:rPr>
      <w:b/>
      <w:bCs/>
    </w:rPr>
  </w:style>
  <w:style w:type="table" w:styleId="40">
    <w:name w:val="Table Grid"/>
    <w:basedOn w:val="3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9"/>
    <w:uiPriority w:val="99"/>
  </w:style>
  <w:style w:type="character" w:customStyle="1" w:styleId="140">
    <w:name w:val="Footer Char"/>
    <w:basedOn w:val="35"/>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2"/>
    <w:uiPriority w:val="99"/>
  </w:style>
  <w:style w:type="character" w:customStyle="1" w:styleId="149">
    <w:name w:val="Body Text 2 Char"/>
    <w:basedOn w:val="35"/>
    <w:link w:val="13"/>
    <w:uiPriority w:val="99"/>
  </w:style>
  <w:style w:type="character" w:customStyle="1" w:styleId="150">
    <w:name w:val="Body Text 3 Char"/>
    <w:basedOn w:val="35"/>
    <w:link w:val="14"/>
    <w:qFormat/>
    <w:uiPriority w:val="99"/>
    <w:rPr>
      <w:sz w:val="16"/>
      <w:szCs w:val="16"/>
    </w:rPr>
  </w:style>
  <w:style w:type="character" w:customStyle="1" w:styleId="151">
    <w:name w:val="Macro Text Char"/>
    <w:basedOn w:val="35"/>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qFormat/>
    <w:uiPriority w:val="30"/>
    <w:rPr>
      <w:b/>
      <w:bCs/>
      <w:i/>
      <w:iCs/>
      <w:color w:val="4F81BD" w:themeColor="accent1"/>
      <w14:textFill>
        <w14:solidFill>
          <w14:schemeClr w14:val="accent1"/>
        </w14:solidFill>
      </w14:textFill>
    </w:rPr>
  </w:style>
  <w:style w:type="character" w:customStyle="1" w:styleId="162">
    <w:name w:val="Subtle Emphasis"/>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35"/>
    <w:qFormat/>
    <w:uiPriority w:val="21"/>
    <w:rPr>
      <w:b/>
      <w:bCs/>
      <w:i/>
      <w:iCs/>
      <w:color w:val="4F81BD" w:themeColor="accent1"/>
      <w14:textFill>
        <w14:solidFill>
          <w14:schemeClr w14:val="accent1"/>
        </w14:solidFill>
      </w14:textFill>
    </w:rPr>
  </w:style>
  <w:style w:type="character" w:customStyle="1" w:styleId="164">
    <w:name w:val="Subtle Reference"/>
    <w:basedOn w:val="35"/>
    <w:qFormat/>
    <w:uiPriority w:val="31"/>
    <w:rPr>
      <w:smallCaps/>
      <w:color w:val="C0504D" w:themeColor="accent2"/>
      <w:u w:val="single"/>
      <w14:textFill>
        <w14:solidFill>
          <w14:schemeClr w14:val="accent2"/>
        </w14:solidFill>
      </w14:textFill>
    </w:rPr>
  </w:style>
  <w:style w:type="character" w:customStyle="1" w:styleId="165">
    <w:name w:val="Intense Reference"/>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35"/>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69">
    <w:name w:val="Comment Subject Char"/>
    <w:basedOn w:val="168"/>
    <w:link w:val="17"/>
    <w:semiHidden/>
    <w:uiPriority w:val="99"/>
    <w:rPr>
      <w:rFonts w:ascii="Times New Roman" w:hAnsi="Times New Roman" w:eastAsia="Times New Roman" w:cs="Times New Roman"/>
      <w:b/>
      <w:bCs/>
      <w:color w:val="000000"/>
      <w:sz w:val="20"/>
      <w:szCs w:val="20"/>
    </w:rPr>
  </w:style>
  <w:style w:type="character" w:customStyle="1" w:styleId="170">
    <w:name w:val="Balloon Text Char"/>
    <w:basedOn w:val="35"/>
    <w:link w:val="11"/>
    <w:semiHidden/>
    <w:uiPriority w:val="99"/>
    <w:rPr>
      <w:rFonts w:ascii="Segoe UI" w:hAnsi="Segoe UI" w:eastAsia="Times New Roman" w:cs="Segoe U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99F4FC-FA7A-45DF-B631-21CE25210097}">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4097</Words>
  <Characters>23354</Characters>
  <Lines>194</Lines>
  <Paragraphs>54</Paragraphs>
  <TotalTime>48</TotalTime>
  <ScaleCrop>false</ScaleCrop>
  <LinksUpToDate>false</LinksUpToDate>
  <CharactersWithSpaces>27397</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2026-09-07T17:12:18Z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