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3864"/>
          <w:sz w:val="40"/>
          <w:szCs w:val="40"/>
        </w:rPr>
        <w:t xml:space="preserve">Presentation Script — HEALTHINFO IV</w:t>
      </w:r>
    </w:p>
    <w:p>
      <w:pPr>
        <w:pBdr>
          <w:bottom w:val="single" w:color="1F3864" w:sz="12" w:space="6"/>
        </w:pBdr>
        <w:spacing w:after="240"/>
      </w:pPr>
      <w:r>
        <w:rPr>
          <w:rFonts w:ascii="Calibri" w:cs="Calibri" w:eastAsia="Calibri" w:hAnsi="Calibri"/>
          <w:i/>
          <w:iCs/>
          <w:color w:val="5A6B85"/>
          <w:sz w:val="20"/>
          <w:szCs w:val="20"/>
        </w:rPr>
        <w:t xml:space="preserve">A Rule-Constrained Large Language Model Pipeline for Patient-Friendly Interpretation of Vietnamese Blood Test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Paper ID</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HI26-0013 · Track B · Oral Presentation</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Authors</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Vo Hoang Khang, Truong Quang Dai</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Schedule</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3 October 2026 · 15-minute talk + Q&amp;A</w:t>
            </w:r>
          </w:p>
        </w:tc>
      </w:tr>
      <w:tr>
        <w:tc>
          <w:tcPr>
            <w:tcW w:type="dxa" w:w="2000"/>
            <w:shd w:fill="F0F4F9" w:val="clear"/>
            <w:tcMar>
              <w:top w:type="dxa" w:w="70"/>
              <w:left w:type="dxa" w:w="110"/>
              <w:bottom w:type="dxa" w:w="70"/>
              <w:right w:type="dxa" w:w="110"/>
            </w:tcMar>
          </w:tcPr>
          <w:p>
            <w:pPr>
              <w:spacing w:after="0" w:line="330"/>
            </w:pPr>
            <w:r>
              <w:rPr>
                <w:rFonts w:ascii="Calibri" w:cs="Calibri" w:eastAsia="Calibri" w:hAnsi="Calibri"/>
                <w:b/>
                <w:bCs/>
                <w:color w:val="1F3864"/>
                <w:sz w:val="19"/>
                <w:szCs w:val="19"/>
              </w:rPr>
              <w:t xml:space="preserve">Slide deck</w:t>
            </w:r>
          </w:p>
        </w:tc>
        <w:tc>
          <w:tcPr>
            <w:tcW w:type="dxa" w:w="7000"/>
            <w:tcMar>
              <w:top w:type="dxa" w:w="70"/>
              <w:left w:type="dxa" w:w="110"/>
              <w:bottom w:type="dxa" w:w="70"/>
              <w:right w:type="dxa" w:w="110"/>
            </w:tcMar>
          </w:tcPr>
          <w:p>
            <w:pPr>
              <w:spacing w:after="0" w:line="330"/>
            </w:pPr>
            <w:r>
              <w:rPr>
                <w:rFonts w:ascii="Calibri" w:cs="Calibri" w:eastAsia="Calibri" w:hAnsi="Calibri"/>
                <w:color w:val="1A1A1A"/>
                <w:sz w:val="19"/>
                <w:szCs w:val="19"/>
              </w:rPr>
              <w:t xml:space="preserve">HEALTHINFO-IV-Vo-Hoang-Khang-EN.pptx (17 slides)</w:t>
            </w:r>
          </w:p>
        </w:tc>
      </w:tr>
    </w:tbl>
    <w:p>
      <w:pPr>
        <w:spacing w:after="240"/>
      </w:pPr>
    </w:p>
    <w:p>
      <w:pPr>
        <w:pStyle w:val="Heading1"/>
        <w:spacing w:after="160" w:before="240"/>
      </w:pPr>
      <w:r>
        <w:rPr>
          <w:rFonts w:ascii="Arial" w:cs="Arial" w:eastAsia="Arial" w:hAnsi="Arial"/>
          <w:b/>
          <w:bCs/>
          <w:color w:val="1F3864"/>
          <w:sz w:val="30"/>
          <w:szCs w:val="30"/>
        </w:rPr>
        <w:t xml:space="preserve">How to use this document</w:t>
      </w:r>
    </w:p>
    <w:p>
      <w:pPr>
        <w:pStyle w:val="ListParagraph"/>
        <w:numPr>
          <w:ilvl w:val="0"/>
          <w:numId w:val="2"/>
        </w:numPr>
        <w:spacing w:after="90" w:line="330"/>
      </w:pPr>
      <w:r>
        <w:rPr>
          <w:rFonts w:ascii="Calibri" w:cs="Calibri" w:eastAsia="Calibri" w:hAnsi="Calibri"/>
          <w:color w:val="1A1A1A"/>
          <w:sz w:val="20"/>
          <w:szCs w:val="20"/>
        </w:rPr>
        <w:t xml:space="preserve">Each section maps to one slide, with a suggested duration and speaking notes.</w:t>
      </w:r>
    </w:p>
    <w:p>
      <w:pPr>
        <w:pStyle w:val="ListParagraph"/>
        <w:numPr>
          <w:ilvl w:val="0"/>
          <w:numId w:val="2"/>
        </w:numPr>
        <w:spacing w:after="90" w:line="330"/>
      </w:pPr>
      <w:r>
        <w:rPr>
          <w:rFonts w:ascii="Calibri" w:cs="Calibri" w:eastAsia="Calibri" w:hAnsi="Calibri"/>
          <w:color w:val="1A1A1A"/>
          <w:sz w:val="20"/>
          <w:szCs w:val="20"/>
        </w:rPr>
        <w:t xml:space="preserve">The “Say” text is a guide, not a script to memorise — use your own voice.</w:t>
      </w:r>
    </w:p>
    <w:p>
      <w:pPr>
        <w:pStyle w:val="ListParagraph"/>
        <w:numPr>
          <w:ilvl w:val="0"/>
          <w:numId w:val="2"/>
        </w:numPr>
        <w:spacing w:after="90" w:line="330"/>
      </w:pPr>
      <w:r>
        <w:rPr>
          <w:rFonts w:ascii="Calibri" w:cs="Calibri" w:eastAsia="Calibri" w:hAnsi="Calibri"/>
          <w:color w:val="1A1A1A"/>
          <w:sz w:val="20"/>
          <w:szCs w:val="20"/>
        </w:rPr>
        <w:t xml:space="preserve">“Emphasise” marks sentences that carry the core argument; do not drop them.</w:t>
      </w:r>
    </w:p>
    <w:p>
      <w:pPr>
        <w:pStyle w:val="ListParagraph"/>
        <w:numPr>
          <w:ilvl w:val="0"/>
          <w:numId w:val="2"/>
        </w:numPr>
        <w:spacing w:after="90" w:line="330"/>
      </w:pPr>
      <w:r>
        <w:rPr>
          <w:rFonts w:ascii="Calibri" w:cs="Calibri" w:eastAsia="Calibri" w:hAnsi="Calibri"/>
          <w:color w:val="1A1A1A"/>
          <w:sz w:val="20"/>
          <w:szCs w:val="20"/>
        </w:rPr>
        <w:t xml:space="preserve">“Avoid saying” warns against phrasings that could misrepresent the results.</w:t>
      </w:r>
    </w:p>
    <w:p>
      <w:pPr>
        <w:pStyle w:val="ListParagraph"/>
        <w:numPr>
          <w:ilvl w:val="0"/>
          <w:numId w:val="2"/>
        </w:numPr>
        <w:spacing w:after="90" w:line="330"/>
      </w:pPr>
      <w:r>
        <w:rPr>
          <w:rFonts w:ascii="Calibri" w:cs="Calibri" w:eastAsia="Calibri" w:hAnsi="Calibri"/>
          <w:color w:val="1A1A1A"/>
          <w:sz w:val="20"/>
          <w:szCs w:val="20"/>
        </w:rPr>
        <w:t xml:space="preserve">A Q&amp;A preparation section with ten anticipated questions follows at the end.</w:t>
      </w:r>
    </w:p>
    <w:p>
      <w:pPr>
        <w:pStyle w:val="Heading1"/>
        <w:spacing w:after="160" w:before="240"/>
      </w:pPr>
      <w:r>
        <w:rPr>
          <w:rFonts w:ascii="Arial" w:cs="Arial" w:eastAsia="Arial" w:hAnsi="Arial"/>
          <w:b/>
          <w:bCs/>
          <w:color w:val="1F3864"/>
          <w:sz w:val="30"/>
          <w:szCs w:val="30"/>
        </w:rPr>
        <w:t xml:space="preserve">Time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Opening and problem statement</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1–3</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3 min</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The risk of unconstrained interpretation</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4–5</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2.5 min</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Contributions and architecture</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6–10</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4.5 min</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Evaluation and results</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11–13</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3.5 min</w:t>
            </w:r>
          </w:p>
        </w:tc>
      </w:tr>
      <w:tr>
        <w:tc>
          <w:tcPr>
            <w:tcW w:type="dxa" w:w="4200"/>
            <w:tcMar>
              <w:top w:type="dxa" w:w="70"/>
              <w:left w:type="dxa" w:w="110"/>
              <w:bottom w:type="dxa" w:w="70"/>
              <w:right w:type="dxa" w:w="110"/>
            </w:tcMar>
          </w:tcPr>
          <w:p>
            <w:pPr>
              <w:spacing w:after="0" w:line="330"/>
            </w:pPr>
            <w:r>
              <w:rPr>
                <w:rFonts w:ascii="Calibri" w:cs="Calibri" w:eastAsia="Calibri" w:hAnsi="Calibri"/>
                <w:b w:val="false"/>
                <w:bCs w:val="false"/>
                <w:color w:val="1A1A1A"/>
                <w:sz w:val="19"/>
                <w:szCs w:val="19"/>
              </w:rPr>
              <w:t xml:space="preserve">Discussion, limitations, conclusion</w:t>
            </w:r>
          </w:p>
        </w:tc>
        <w:tc>
          <w:tcPr>
            <w:tcW w:type="dxa" w:w="2400"/>
            <w:tcMar>
              <w:top w:type="dxa" w:w="70"/>
              <w:left w:type="dxa" w:w="110"/>
              <w:bottom w:type="dxa" w:w="70"/>
              <w:right w:type="dxa" w:w="110"/>
            </w:tcMar>
          </w:tcPr>
          <w:p>
            <w:pPr>
              <w:spacing w:after="0" w:line="330"/>
              <w:jc w:val="center"/>
            </w:pPr>
            <w:r>
              <w:rPr>
                <w:rFonts w:ascii="Calibri" w:cs="Calibri" w:eastAsia="Calibri" w:hAnsi="Calibri"/>
                <w:b w:val="false"/>
                <w:bCs w:val="false"/>
                <w:color w:val="1A1A1A"/>
                <w:sz w:val="19"/>
                <w:szCs w:val="19"/>
              </w:rPr>
              <w:t xml:space="preserve">Slides 14–17</w:t>
            </w:r>
          </w:p>
        </w:tc>
        <w:tc>
          <w:tcPr>
            <w:tcW w:type="dxa" w:w="2400"/>
            <w:tcMar>
              <w:top w:type="dxa" w:w="70"/>
              <w:left w:type="dxa" w:w="110"/>
              <w:bottom w:type="dxa" w:w="70"/>
              <w:right w:type="dxa" w:w="110"/>
            </w:tcMar>
          </w:tcPr>
          <w:p>
            <w:pPr>
              <w:spacing w:after="0" w:line="330"/>
              <w:jc w:val="center"/>
            </w:pPr>
            <w:r>
              <w:rPr>
                <w:rFonts w:ascii="Calibri" w:cs="Calibri" w:eastAsia="Calibri" w:hAnsi="Calibri"/>
                <w:b/>
                <w:bCs/>
                <w:color w:val="1565C0"/>
                <w:sz w:val="19"/>
                <w:szCs w:val="19"/>
              </w:rPr>
              <w:t xml:space="preserve">1.5 min</w:t>
            </w:r>
          </w:p>
        </w:tc>
      </w:tr>
    </w:tbl>
    <w:p>
      <w:r>
        <w:br w:type="page"/>
      </w:r>
    </w:p>
    <w:p>
      <w:pPr>
        <w:pBdr>
          <w:left w:val="single" w:color="1F3864" w:sz="18" w:space="6"/>
        </w:pBdr>
        <w:shd w:fill="E8EFF7" w:val="clear"/>
        <w:spacing w:after="140" w:before="320"/>
      </w:pPr>
      <w:r>
        <w:rPr>
          <w:rFonts w:ascii="Arial" w:cs="Arial" w:eastAsia="Arial" w:hAnsi="Arial"/>
          <w:b/>
          <w:bCs/>
          <w:color w:val="1565C0"/>
          <w:sz w:val="20"/>
          <w:szCs w:val="20"/>
        </w:rPr>
        <w:t xml:space="preserve">SLIDE 1</w:t>
      </w:r>
      <w:r>
        <w:rPr>
          <w:rFonts w:ascii="Arial" w:cs="Arial" w:eastAsia="Arial" w:hAnsi="Arial"/>
          <w:b/>
          <w:bCs/>
          <w:color w:val="1F3864"/>
          <w:sz w:val="24"/>
          <w:szCs w:val="24"/>
        </w:rPr>
        <w:t xml:space="preserve">   Title slide</w:t>
      </w:r>
      <w:r>
        <w:rPr>
          <w:rFonts w:ascii="Calibri" w:cs="Calibri" w:eastAsia="Calibri" w:hAnsi="Calibri"/>
          <w:color w:val="5A6B85"/>
          <w:sz w:val="18"/>
          <w:szCs w:val="18"/>
        </w:rPr>
        <w:t xml:space="preserve">   ·  30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Good morning. My name is Vo Hoang Khang, from HUTECH University in Ho Chi Minh City.</w:t>
      </w:r>
    </w:p>
    <w:p>
      <w:pPr>
        <w:spacing w:after="100" w:line="330"/>
      </w:pPr>
      <w:r>
        <w:rPr>
          <w:rFonts w:ascii="Calibri" w:cs="Calibri" w:eastAsia="Calibri" w:hAnsi="Calibri"/>
          <w:color w:val="1A1A1A"/>
          <w:sz w:val="21"/>
          <w:szCs w:val="21"/>
        </w:rPr>
        <w:t xml:space="preserve">This talk is about a system that helps patients understand their own blood test results. What distinguishes it is this: in our pipeline, the language model is not permitted to decide whether a value is abnormal.</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State the central claim in the second sentence — do not save it for the middle of the talk.</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2</w:t>
      </w:r>
      <w:r>
        <w:rPr>
          <w:rFonts w:ascii="Arial" w:cs="Arial" w:eastAsia="Arial" w:hAnsi="Arial"/>
          <w:b/>
          <w:bCs/>
          <w:color w:val="1F3864"/>
          <w:sz w:val="24"/>
          <w:szCs w:val="24"/>
        </w:rPr>
        <w:t xml:space="preserve">   Outline</w:t>
      </w:r>
      <w:r>
        <w:rPr>
          <w:rFonts w:ascii="Calibri" w:cs="Calibri" w:eastAsia="Calibri" w:hAnsi="Calibri"/>
          <w:color w:val="5A6B85"/>
          <w:sz w:val="18"/>
          <w:szCs w:val="18"/>
        </w:rPr>
        <w:t xml:space="preserve">   ·  20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I will cover six parts: the problem, the risk, the architecture, the evaluation design, the results, and the limitations.</w:t>
      </w:r>
    </w:p>
    <w:p>
      <w:pPr>
        <w:spacing w:after="60" w:before="140"/>
      </w:pPr>
      <w:r>
        <w:rPr>
          <w:rFonts w:ascii="Arial" w:cs="Arial" w:eastAsia="Arial" w:hAnsi="Arial"/>
          <w:b/>
          <w:bCs/>
          <w:color w:val="5A6B85"/>
          <w:sz w:val="19"/>
          <w:szCs w:val="19"/>
        </w:rPr>
        <w:t xml:space="preserve">Note</w:t>
      </w:r>
    </w:p>
    <w:p>
      <w:pPr>
        <w:spacing w:after="70" w:line="330"/>
      </w:pPr>
      <w:r>
        <w:rPr>
          <w:rFonts w:ascii="Calibri" w:cs="Calibri" w:eastAsia="Calibri" w:hAnsi="Calibri"/>
          <w:i/>
          <w:iCs/>
          <w:color w:val="5A6B85"/>
          <w:sz w:val="19"/>
          <w:szCs w:val="19"/>
        </w:rPr>
        <w:t xml:space="preserve">Move quickly. Do not read all six lines aloud.</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3</w:t>
      </w:r>
      <w:r>
        <w:rPr>
          <w:rFonts w:ascii="Arial" w:cs="Arial" w:eastAsia="Arial" w:hAnsi="Arial"/>
          <w:b/>
          <w:bCs/>
          <w:color w:val="1F3864"/>
          <w:sz w:val="24"/>
          <w:szCs w:val="24"/>
        </w:rPr>
        <w:t xml:space="preserve">   The problem</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A patient leaves the laboratory holding this: PDW, MCHC, Monocyte, in units of G per litre, femtolitres, picograms.</w:t>
      </w:r>
    </w:p>
    <w:p>
      <w:pPr>
        <w:spacing w:after="100" w:line="330"/>
      </w:pPr>
      <w:r>
        <w:rPr>
          <w:rFonts w:ascii="Calibri" w:cs="Calibri" w:eastAsia="Calibri" w:hAnsi="Calibri"/>
          <w:color w:val="1A1A1A"/>
          <w:sz w:val="21"/>
          <w:szCs w:val="21"/>
        </w:rPr>
        <w:t xml:space="preserve">The reference interval is printed beside each value, so the patient can see a number falls outside it. But not what the analyte measures, whether the deviation matters, or what to do next.</w:t>
      </w:r>
    </w:p>
    <w:p>
      <w:pPr>
        <w:spacing w:after="100" w:line="330"/>
      </w:pPr>
      <w:r>
        <w:rPr>
          <w:rFonts w:ascii="Calibri" w:cs="Calibri" w:eastAsia="Calibri" w:hAnsi="Calibri"/>
          <w:color w:val="1A1A1A"/>
          <w:sz w:val="21"/>
          <w:szCs w:val="21"/>
        </w:rPr>
        <w:t xml:space="preserve">This is the gap health literacy describes, and in Vietnam the gap is well documented: a cross-sectional study of 204 older adults in Da Nang found 60.3% with inadequate general health literacy.</w:t>
      </w:r>
    </w:p>
    <w:p>
      <w:pPr>
        <w:spacing w:after="100" w:line="330"/>
      </w:pPr>
      <w:r>
        <w:rPr>
          <w:rFonts w:ascii="Calibri" w:cs="Calibri" w:eastAsia="Calibri" w:hAnsi="Calibri"/>
          <w:color w:val="1A1A1A"/>
          <w:sz w:val="21"/>
          <w:szCs w:val="21"/>
        </w:rPr>
        <w:t xml:space="preserve">Patients are left to close that gap themselves. In a study of 93 patients receiving results through an online portal, nearly two-thirds received no explanation, and 46% searched online to understand them.</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The two figures — 60.3% and 46% — underpin everything that follows. Slow down here.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4</w:t>
      </w:r>
      <w:r>
        <w:rPr>
          <w:rFonts w:ascii="Arial" w:cs="Arial" w:eastAsia="Arial" w:hAnsi="Arial"/>
          <w:b/>
          <w:bCs/>
          <w:color w:val="1F3864"/>
          <w:sz w:val="24"/>
          <w:szCs w:val="24"/>
        </w:rPr>
        <w:t xml:space="preserve">   How patients currently cope</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Today, searching online usually means photographing the report and asking a general-purpose language model.</w:t>
      </w:r>
    </w:p>
    <w:p>
      <w:pPr>
        <w:spacing w:after="100" w:line="330"/>
      </w:pPr>
      <w:r>
        <w:rPr>
          <w:rFonts w:ascii="Calibri" w:cs="Calibri" w:eastAsia="Calibri" w:hAnsi="Calibri"/>
          <w:color w:val="1A1A1A"/>
          <w:sz w:val="21"/>
          <w:szCs w:val="21"/>
        </w:rPr>
        <w:t xml:space="preserve">The failure mode is easy to reproduce. This is an actual response, from the same model we use in the study, asked in Vietnamese what white blood cells are.</w:t>
      </w:r>
    </w:p>
    <w:p>
      <w:pPr>
        <w:spacing w:after="100" w:line="330"/>
      </w:pPr>
      <w:r>
        <w:rPr>
          <w:rFonts w:ascii="Calibri" w:cs="Calibri" w:eastAsia="Calibri" w:hAnsi="Calibri"/>
          <w:color w:val="1A1A1A"/>
          <w:sz w:val="21"/>
          <w:szCs w:val="21"/>
        </w:rPr>
        <w:t xml:space="preserve">It says white blood cells are lymphocytes. That is wrong — lymphocytes are one type of white blood cell, not a synonym. It then raises cancer and immune deficiency, unprompted.</w:t>
      </w:r>
    </w:p>
    <w:p>
      <w:pPr>
        <w:spacing w:after="100" w:line="330"/>
      </w:pPr>
      <w:r>
        <w:rPr>
          <w:rFonts w:ascii="Calibri" w:cs="Calibri" w:eastAsia="Calibri" w:hAnsi="Calibri"/>
          <w:color w:val="1A1A1A"/>
          <w:sz w:val="21"/>
          <w:szCs w:val="21"/>
        </w:rPr>
        <w:t xml:space="preserve">A patient holding an entirely normal result meets one definitional error and two alarming diseases in a single short answer.</w:t>
      </w:r>
    </w:p>
    <w:p>
      <w:pPr>
        <w:spacing w:after="60" w:before="140"/>
      </w:pPr>
      <w:r>
        <w:rPr>
          <w:rFonts w:ascii="Arial" w:cs="Arial" w:eastAsia="Arial" w:hAnsi="Arial"/>
          <w:b/>
          <w:bCs/>
          <w:color w:val="5A6B85"/>
          <w:sz w:val="19"/>
          <w:szCs w:val="19"/>
        </w:rPr>
        <w:t xml:space="preserve">Note</w:t>
      </w:r>
    </w:p>
    <w:p>
      <w:pPr>
        <w:spacing w:after="70" w:line="330"/>
      </w:pPr>
      <w:r>
        <w:rPr>
          <w:rFonts w:ascii="Calibri" w:cs="Calibri" w:eastAsia="Calibri" w:hAnsi="Calibri"/>
          <w:i/>
          <w:iCs/>
          <w:color w:val="5A6B85"/>
          <w:sz w:val="19"/>
          <w:szCs w:val="19"/>
        </w:rPr>
        <w:t xml:space="preserve">If time allows, let the audience read the quoted passage for a few seconds before commenting.</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5</w:t>
      </w:r>
      <w:r>
        <w:rPr>
          <w:rFonts w:ascii="Arial" w:cs="Arial" w:eastAsia="Arial" w:hAnsi="Arial"/>
          <w:b/>
          <w:bCs/>
          <w:color w:val="1F3864"/>
          <w:sz w:val="24"/>
          <w:szCs w:val="24"/>
        </w:rPr>
        <w:t xml:space="preserve">   The most dangerous failure runs the other way</w:t>
      </w:r>
      <w:r>
        <w:rPr>
          <w:rFonts w:ascii="Calibri" w:cs="Calibri" w:eastAsia="Calibri" w:hAnsi="Calibri"/>
          <w:color w:val="5A6B85"/>
          <w:sz w:val="18"/>
          <w:szCs w:val="18"/>
        </w:rPr>
        <w:t xml:space="preserve">   ·  1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But the more consequential failure runs in the opposite direction.</w:t>
      </w:r>
    </w:p>
    <w:p>
      <w:pPr>
        <w:spacing w:after="100" w:line="330"/>
      </w:pPr>
      <w:r>
        <w:rPr>
          <w:rFonts w:ascii="Calibri" w:cs="Calibri" w:eastAsia="Calibri" w:hAnsi="Calibri"/>
          <w:color w:val="1A1A1A"/>
          <w:sz w:val="21"/>
          <w:szCs w:val="21"/>
        </w:rPr>
        <w:t xml:space="preserve">A terminological error is visible to the reader and invites verification. False reassurance is fluent, comfortable, and acts by suppressing further action.</w:t>
      </w:r>
    </w:p>
    <w:p>
      <w:pPr>
        <w:spacing w:after="100" w:line="330"/>
      </w:pPr>
      <w:r>
        <w:rPr>
          <w:rFonts w:ascii="Calibri" w:cs="Calibri" w:eastAsia="Calibri" w:hAnsi="Calibri"/>
          <w:color w:val="1A1A1A"/>
          <w:sz w:val="21"/>
          <w:szCs w:val="21"/>
        </w:rPr>
        <w:t xml:space="preserve">False reassurance is the assertion that all results are normal, on a panel that is not.</w:t>
      </w:r>
    </w:p>
    <w:p>
      <w:pPr>
        <w:spacing w:after="100" w:line="330"/>
      </w:pPr>
      <w:r>
        <w:rPr>
          <w:rFonts w:ascii="Calibri" w:cs="Calibri" w:eastAsia="Calibri" w:hAnsi="Calibri"/>
          <w:color w:val="1A1A1A"/>
          <w:sz w:val="21"/>
          <w:szCs w:val="21"/>
        </w:rPr>
        <w:t xml:space="preserve">This is an actual output from our experiment, on a panel labelled seek care.</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This is the most important slide in the first half. It establishes why a separate metric is needed.</w:t>
      </w:r>
    </w:p>
    <w:p>
      <w:pPr>
        <w:spacing w:after="70" w:line="330"/>
      </w:pPr>
      <w:r>
        <w:rPr>
          <w:rFonts w:ascii="Calibri" w:cs="Calibri" w:eastAsia="Calibri" w:hAnsi="Calibri"/>
          <w:color w:val="1A3D1F"/>
          <w:sz w:val="20"/>
          <w:szCs w:val="20"/>
        </w:rPr>
        <w:t xml:space="preserve">▸  Closing line: this error does not merely misinform — it removes the reason to seek care.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6</w:t>
      </w:r>
      <w:r>
        <w:rPr>
          <w:rFonts w:ascii="Arial" w:cs="Arial" w:eastAsia="Arial" w:hAnsi="Arial"/>
          <w:b/>
          <w:bCs/>
          <w:color w:val="1F3864"/>
          <w:sz w:val="24"/>
          <w:szCs w:val="24"/>
        </w:rPr>
        <w:t xml:space="preserve">   Contributions</w:t>
      </w:r>
      <w:r>
        <w:rPr>
          <w:rFonts w:ascii="Calibri" w:cs="Calibri" w:eastAsia="Calibri" w:hAnsi="Calibri"/>
          <w:color w:val="5A6B85"/>
          <w:sz w:val="18"/>
          <w:szCs w:val="18"/>
        </w:rPr>
        <w:t xml:space="preserve">   ·  50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The paper makes four contributions.</w:t>
      </w:r>
    </w:p>
    <w:p>
      <w:pPr>
        <w:spacing w:after="100" w:line="330"/>
      </w:pPr>
      <w:r>
        <w:rPr>
          <w:rFonts w:ascii="Calibri" w:cs="Calibri" w:eastAsia="Calibri" w:hAnsi="Calibri"/>
          <w:color w:val="1A1A1A"/>
          <w:sz w:val="21"/>
          <w:szCs w:val="21"/>
        </w:rPr>
        <w:t xml:space="preserve">First, a four-layer pipeline in which all clinical judgement is completed by rules before the model is invoked.</w:t>
      </w:r>
    </w:p>
    <w:p>
      <w:pPr>
        <w:spacing w:after="100" w:line="330"/>
      </w:pPr>
      <w:r>
        <w:rPr>
          <w:rFonts w:ascii="Calibri" w:cs="Calibri" w:eastAsia="Calibri" w:hAnsi="Calibri"/>
          <w:color w:val="1A1A1A"/>
          <w:sz w:val="21"/>
          <w:szCs w:val="21"/>
        </w:rPr>
        <w:t xml:space="preserve">Second, an automated validator that checks generated text against those labels.</w:t>
      </w:r>
    </w:p>
    <w:p>
      <w:pPr>
        <w:spacing w:after="100" w:line="330"/>
      </w:pPr>
      <w:r>
        <w:rPr>
          <w:rFonts w:ascii="Calibri" w:cs="Calibri" w:eastAsia="Calibri" w:hAnsi="Calibri"/>
          <w:color w:val="1A1A1A"/>
          <w:sz w:val="21"/>
          <w:szCs w:val="21"/>
        </w:rPr>
        <w:t xml:space="preserve">Third, a false reassurance metric, which to our knowledge has not been reported separately in prior work.</w:t>
      </w:r>
    </w:p>
    <w:p>
      <w:pPr>
        <w:spacing w:after="100" w:line="330"/>
      </w:pPr>
      <w:r>
        <w:rPr>
          <w:rFonts w:ascii="Calibri" w:cs="Calibri" w:eastAsia="Calibri" w:hAnsi="Calibri"/>
          <w:color w:val="1A1A1A"/>
          <w:sz w:val="21"/>
          <w:szCs w:val="21"/>
        </w:rPr>
        <w:t xml:space="preserve">Fourth, an empirical observation about unit heterogeneity between Vietnamese laboratories.</w:t>
      </w:r>
    </w:p>
    <w:p>
      <w:pPr>
        <w:spacing w:after="60" w:before="140"/>
      </w:pPr>
      <w:r>
        <w:rPr>
          <w:rFonts w:ascii="Arial" w:cs="Arial" w:eastAsia="Arial" w:hAnsi="Arial"/>
          <w:b/>
          <w:bCs/>
          <w:color w:val="5A6B85"/>
          <w:sz w:val="19"/>
          <w:szCs w:val="19"/>
        </w:rPr>
        <w:t xml:space="preserve">Note</w:t>
      </w:r>
    </w:p>
    <w:p>
      <w:pPr>
        <w:spacing w:after="70" w:line="330"/>
      </w:pPr>
      <w:r>
        <w:rPr>
          <w:rFonts w:ascii="Calibri" w:cs="Calibri" w:eastAsia="Calibri" w:hAnsi="Calibri"/>
          <w:i/>
          <w:iCs/>
          <w:color w:val="5A6B85"/>
          <w:sz w:val="19"/>
          <w:szCs w:val="19"/>
        </w:rPr>
        <w:t xml:space="preserve">Keep this brisk — one sentence each. Detail comes later.</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7</w:t>
      </w:r>
      <w:r>
        <w:rPr>
          <w:rFonts w:ascii="Arial" w:cs="Arial" w:eastAsia="Arial" w:hAnsi="Arial"/>
          <w:b/>
          <w:bCs/>
          <w:color w:val="1F3864"/>
          <w:sz w:val="24"/>
          <w:szCs w:val="24"/>
        </w:rPr>
        <w:t xml:space="preserve">   Four-layer architecture</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The central principle is stated at the top of the slide: no clinical judgement is delegated to the language model.</w:t>
      </w:r>
    </w:p>
    <w:p>
      <w:pPr>
        <w:spacing w:after="100" w:line="330"/>
      </w:pPr>
      <w:r>
        <w:rPr>
          <w:rFonts w:ascii="Calibri" w:cs="Calibri" w:eastAsia="Calibri" w:hAnsi="Calibri"/>
          <w:color w:val="1A1A1A"/>
          <w:sz w:val="21"/>
          <w:szCs w:val="21"/>
        </w:rPr>
        <w:t xml:space="preserve">Layer 1 normalises analyte names and converts units. Layer 2 compares against the reference interval and assigns a three-level label. Neither layer involves a language model at all.</w:t>
      </w:r>
    </w:p>
    <w:p>
      <w:pPr>
        <w:spacing w:after="100" w:line="330"/>
      </w:pPr>
      <w:r>
        <w:rPr>
          <w:rFonts w:ascii="Calibri" w:cs="Calibri" w:eastAsia="Calibri" w:hAnsi="Calibri"/>
          <w:color w:val="1A1A1A"/>
          <w:sz w:val="21"/>
          <w:szCs w:val="21"/>
        </w:rPr>
        <w:t xml:space="preserve">Layer 3 is where the model is invoked — but it receives labels that are already assigned, and its only task is to render them in plain language.</w:t>
      </w:r>
    </w:p>
    <w:p>
      <w:pPr>
        <w:spacing w:after="100" w:line="330"/>
      </w:pPr>
      <w:r>
        <w:rPr>
          <w:rFonts w:ascii="Calibri" w:cs="Calibri" w:eastAsia="Calibri" w:hAnsi="Calibri"/>
          <w:color w:val="1A1A1A"/>
          <w:sz w:val="21"/>
          <w:szCs w:val="21"/>
        </w:rPr>
        <w:t xml:space="preserve">Layer 4 validates the generated text. Failing output is regenerated; past the retry limit, the system emits a fixed template.</w:t>
      </w:r>
    </w:p>
    <w:p>
      <w:pPr>
        <w:spacing w:after="100" w:line="330"/>
      </w:pPr>
      <w:r>
        <w:rPr>
          <w:rFonts w:ascii="Calibri" w:cs="Calibri" w:eastAsia="Calibri" w:hAnsi="Calibri"/>
          <w:color w:val="1A1A1A"/>
          <w:sz w:val="21"/>
          <w:szCs w:val="21"/>
        </w:rPr>
        <w:t xml:space="preserve">As a result, the pipeline never displays unverified text.</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Point at the “No LLM” tags on layers 1, 2 and 4 — three of the four layers are fully deterministic.</w:t>
      </w:r>
    </w:p>
    <w:p>
      <w:pPr>
        <w:spacing w:after="60" w:before="140"/>
      </w:pPr>
      <w:r>
        <w:rPr>
          <w:rFonts w:ascii="Arial" w:cs="Arial" w:eastAsia="Arial" w:hAnsi="Arial"/>
          <w:b/>
          <w:bCs/>
          <w:color w:val="C62828"/>
          <w:sz w:val="19"/>
          <w:szCs w:val="19"/>
        </w:rPr>
        <w:t xml:space="preserve">Avoid saying</w:t>
      </w:r>
    </w:p>
    <w:p>
      <w:pPr>
        <w:spacing w:after="70" w:line="330"/>
      </w:pPr>
      <w:r>
        <w:rPr>
          <w:rFonts w:ascii="Calibri" w:cs="Calibri" w:eastAsia="Calibri" w:hAnsi="Calibri"/>
          <w:color w:val="7A1F1F"/>
          <w:sz w:val="20"/>
          <w:szCs w:val="20"/>
        </w:rPr>
        <w:t xml:space="preserve">✗  Do not say “we constrain the model so it does not make mistakes.” More precisely: we do not give it the task it gets wrong.</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8</w:t>
      </w:r>
      <w:r>
        <w:rPr>
          <w:rFonts w:ascii="Arial" w:cs="Arial" w:eastAsia="Arial" w:hAnsi="Arial"/>
          <w:b/>
          <w:bCs/>
          <w:color w:val="1F3864"/>
          <w:sz w:val="24"/>
          <w:szCs w:val="24"/>
        </w:rPr>
        <w:t xml:space="preserve">   Layer 1 — Name and unit normalisation</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This layer looks trivial, but it produced the most instructive error we encountered.</w:t>
      </w:r>
    </w:p>
    <w:p>
      <w:pPr>
        <w:spacing w:after="100" w:line="330"/>
      </w:pPr>
      <w:r>
        <w:rPr>
          <w:rFonts w:ascii="Calibri" w:cs="Calibri" w:eastAsia="Calibri" w:hAnsi="Calibri"/>
          <w:color w:val="1A1A1A"/>
          <w:sz w:val="21"/>
          <w:szCs w:val="21"/>
        </w:rPr>
        <w:t xml:space="preserve">On names: a single white blood cell count may appear under four different spellings depending on the laboratory. The percentage and hash markers distinguish proportion from absolute count, and may precede or follow the name.</w:t>
      </w:r>
    </w:p>
    <w:p>
      <w:pPr>
        <w:spacing w:after="100" w:line="330"/>
      </w:pPr>
      <w:r>
        <w:rPr>
          <w:rFonts w:ascii="Calibri" w:cs="Calibri" w:eastAsia="Calibri" w:hAnsi="Calibri"/>
          <w:color w:val="1A1A1A"/>
          <w:sz w:val="21"/>
          <w:szCs w:val="21"/>
        </w:rPr>
        <w:t xml:space="preserve">Units are the serious problem. Haemoglobin is reported in grams per decilitre by some laboratories and grams per litre by others — a factor of ten apart.</w:t>
      </w:r>
    </w:p>
    <w:p>
      <w:pPr>
        <w:spacing w:after="100" w:line="330"/>
      </w:pPr>
      <w:r>
        <w:rPr>
          <w:rFonts w:ascii="Calibri" w:cs="Calibri" w:eastAsia="Calibri" w:hAnsi="Calibri"/>
          <w:color w:val="1A1A1A"/>
          <w:sz w:val="21"/>
          <w:szCs w:val="21"/>
        </w:rPr>
        <w:t xml:space="preserve">Compared without conversion, an entirely normal value is classified as requiring urgent care. And note where this happens: inside the rule layer, the layer we claim is exact.</w:t>
      </w:r>
    </w:p>
    <w:p>
      <w:pPr>
        <w:spacing w:after="100" w:line="330"/>
      </w:pPr>
      <w:r>
        <w:rPr>
          <w:rFonts w:ascii="Calibri" w:cs="Calibri" w:eastAsia="Calibri" w:hAnsi="Calibri"/>
          <w:color w:val="1A1A1A"/>
          <w:sz w:val="21"/>
          <w:szCs w:val="21"/>
        </w:rPr>
        <w:t xml:space="preserve">Our rule: an unrecognised or missing unit means we refuse to process the analyte. We never guess.</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The line “the error occurs inside the layer treated as 100% correct” is the point of this slide.</w:t>
      </w:r>
    </w:p>
    <w:p>
      <w:pPr>
        <w:spacing w:after="60" w:before="140"/>
      </w:pPr>
      <w:r>
        <w:rPr>
          <w:rFonts w:ascii="Arial" w:cs="Arial" w:eastAsia="Arial" w:hAnsi="Arial"/>
          <w:b/>
          <w:bCs/>
          <w:color w:val="5A6B85"/>
          <w:sz w:val="19"/>
          <w:szCs w:val="19"/>
        </w:rPr>
        <w:t xml:space="preserve">Note</w:t>
      </w:r>
    </w:p>
    <w:p>
      <w:pPr>
        <w:spacing w:after="70" w:line="330"/>
      </w:pPr>
      <w:r>
        <w:rPr>
          <w:rFonts w:ascii="Calibri" w:cs="Calibri" w:eastAsia="Calibri" w:hAnsi="Calibri"/>
          <w:i/>
          <w:iCs/>
          <w:color w:val="5A6B85"/>
          <w:sz w:val="19"/>
          <w:szCs w:val="19"/>
        </w:rPr>
        <w:t xml:space="preserve">If asked about LOINC or FHIR, this is the bridge to Panel 3 at this conference.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9</w:t>
      </w:r>
      <w:r>
        <w:rPr>
          <w:rFonts w:ascii="Arial" w:cs="Arial" w:eastAsia="Arial" w:hAnsi="Arial"/>
          <w:b/>
          <w:bCs/>
          <w:color w:val="1F3864"/>
          <w:sz w:val="24"/>
          <w:szCs w:val="24"/>
        </w:rPr>
        <w:t xml:space="preserve">   Layer 2 — Rule-based classification</w:t>
      </w:r>
      <w:r>
        <w:rPr>
          <w:rFonts w:ascii="Calibri" w:cs="Calibri" w:eastAsia="Calibri" w:hAnsi="Calibri"/>
          <w:color w:val="5A6B85"/>
          <w:sz w:val="18"/>
          <w:szCs w:val="18"/>
        </w:rPr>
        <w:t xml:space="preserve">   ·  50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Layer 2 contains no learned component. It is arithmetic comparison against a reference interval.</w:t>
      </w:r>
    </w:p>
    <w:p>
      <w:pPr>
        <w:spacing w:after="100" w:line="330"/>
      </w:pPr>
      <w:r>
        <w:rPr>
          <w:rFonts w:ascii="Calibri" w:cs="Calibri" w:eastAsia="Calibri" w:hAnsi="Calibri"/>
          <w:color w:val="1A1A1A"/>
          <w:sz w:val="21"/>
          <w:szCs w:val="21"/>
        </w:rPr>
        <w:t xml:space="preserve">Within the interval is normal. Outside it but within the severity threshold is monitor. Beyond that threshold is seek care.</w:t>
      </w:r>
    </w:p>
    <w:p>
      <w:pPr>
        <w:spacing w:after="100" w:line="330"/>
      </w:pPr>
      <w:r>
        <w:rPr>
          <w:rFonts w:ascii="Calibri" w:cs="Calibri" w:eastAsia="Calibri" w:hAnsi="Calibri"/>
          <w:color w:val="1A1A1A"/>
          <w:sz w:val="21"/>
          <w:szCs w:val="21"/>
        </w:rPr>
        <w:t xml:space="preserve">Because there is no learned component, classification accuracy is a property of the design rather than an experimental result. And the language model has no opportunity to alter it.</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That last sentence is the strongest safety argument in the paper.</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10</w:t>
      </w:r>
      <w:r>
        <w:rPr>
          <w:rFonts w:ascii="Arial" w:cs="Arial" w:eastAsia="Arial" w:hAnsi="Arial"/>
          <w:b/>
          <w:bCs/>
          <w:color w:val="1F3864"/>
          <w:sz w:val="24"/>
          <w:szCs w:val="24"/>
        </w:rPr>
        <w:t xml:space="preserve">   Layers 3 and 4</w:t>
      </w:r>
      <w:r>
        <w:rPr>
          <w:rFonts w:ascii="Calibri" w:cs="Calibri" w:eastAsia="Calibri" w:hAnsi="Calibri"/>
          <w:color w:val="5A6B85"/>
          <w:sz w:val="18"/>
          <w:szCs w:val="18"/>
        </w:rPr>
        <w:t xml:space="preserve">   ·  1.2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Layer 3 applies three constraints. The input constraint: the model is given labels, never asked to derive them. The content constraint: no disease names, no attributed causes, no medications or dosages. The output constraint: a fixed JSON schema, which is what makes automated checking possible.</w:t>
      </w:r>
    </w:p>
    <w:p>
      <w:pPr>
        <w:spacing w:after="100" w:line="330"/>
      </w:pPr>
      <w:r>
        <w:rPr>
          <w:rFonts w:ascii="Calibri" w:cs="Calibri" w:eastAsia="Calibri" w:hAnsi="Calibri"/>
          <w:color w:val="1A1A1A"/>
          <w:sz w:val="21"/>
          <w:szCs w:val="21"/>
        </w:rPr>
        <w:t xml:space="preserve">Layer 4 runs four checks: does the stated direction match the Layer 2 label, are forbidden terms present, is any analyte omitted or fabricated, and does the closing statement falsely reassure.</w:t>
      </w:r>
    </w:p>
    <w:p>
      <w:pPr>
        <w:spacing w:after="100" w:line="330"/>
      </w:pPr>
      <w:r>
        <w:rPr>
          <w:rFonts w:ascii="Calibri" w:cs="Calibri" w:eastAsia="Calibri" w:hAnsi="Calibri"/>
          <w:color w:val="1A1A1A"/>
          <w:sz w:val="21"/>
          <w:szCs w:val="21"/>
        </w:rPr>
        <w:t xml:space="preserve">On the model: we use Qwen 2.5 with three billion parameters, served locally through Ollama. This is deliberate — laboratory data is sensitive and should not be transmitted to an external service, and a model this size runs on ordinary CPU hardware.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11</w:t>
      </w:r>
      <w:r>
        <w:rPr>
          <w:rFonts w:ascii="Arial" w:cs="Arial" w:eastAsia="Arial" w:hAnsi="Arial"/>
          <w:b/>
          <w:bCs/>
          <w:color w:val="1F3864"/>
          <w:sz w:val="24"/>
          <w:szCs w:val="24"/>
        </w:rPr>
        <w:t xml:space="preserve">   Evaluation design</w:t>
      </w:r>
      <w:r>
        <w:rPr>
          <w:rFonts w:ascii="Calibri" w:cs="Calibri" w:eastAsia="Calibri" w:hAnsi="Calibri"/>
          <w:color w:val="5A6B85"/>
          <w:sz w:val="18"/>
          <w:szCs w:val="18"/>
        </w:rPr>
        <w:t xml:space="preserve">   ·  1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We evaluate on 150 synthetic complete blood count panels rather than clinical records.</w:t>
      </w:r>
    </w:p>
    <w:p>
      <w:pPr>
        <w:spacing w:after="100" w:line="330"/>
      </w:pPr>
      <w:r>
        <w:rPr>
          <w:rFonts w:ascii="Calibri" w:cs="Calibri" w:eastAsia="Calibri" w:hAnsi="Calibri"/>
          <w:color w:val="1A1A1A"/>
          <w:sz w:val="21"/>
          <w:szCs w:val="21"/>
        </w:rPr>
        <w:t xml:space="preserve">Synthetic data is required here rather than merely convenient. Measuring consistency demands ground truth labels, which real reports do not carry. And it permits a balanced design — real panels are predominantly normal and would yield too few abnormal cases to test against.</w:t>
      </w:r>
    </w:p>
    <w:p>
      <w:pPr>
        <w:spacing w:after="100" w:line="330"/>
      </w:pPr>
      <w:r>
        <w:rPr>
          <w:rFonts w:ascii="Calibri" w:cs="Calibri" w:eastAsia="Calibri" w:hAnsi="Calibri"/>
          <w:color w:val="1A1A1A"/>
          <w:sz w:val="21"/>
          <w:szCs w:val="21"/>
        </w:rPr>
        <w:t xml:space="preserve">We compare three configurations. Baseline gives raw values to the model with no labels and no constraints — this approximates what happens when a patient pastes a report into a chatbot. Constrained adds labels and prompt constraints but no validation. Full is the complete four-layer pipeline.</w:t>
      </w:r>
    </w:p>
    <w:p>
      <w:pPr>
        <w:spacing w:after="60" w:before="140"/>
      </w:pPr>
      <w:r>
        <w:rPr>
          <w:rFonts w:ascii="Arial" w:cs="Arial" w:eastAsia="Arial" w:hAnsi="Arial"/>
          <w:b/>
          <w:bCs/>
          <w:color w:val="C62828"/>
          <w:sz w:val="19"/>
          <w:szCs w:val="19"/>
        </w:rPr>
        <w:t xml:space="preserve">Avoid saying</w:t>
      </w:r>
    </w:p>
    <w:p>
      <w:pPr>
        <w:spacing w:after="70" w:line="330"/>
      </w:pPr>
      <w:r>
        <w:rPr>
          <w:rFonts w:ascii="Calibri" w:cs="Calibri" w:eastAsia="Calibri" w:hAnsi="Calibri"/>
          <w:color w:val="7A1F1F"/>
          <w:sz w:val="20"/>
          <w:szCs w:val="20"/>
        </w:rPr>
        <w:t xml:space="preserve">✗  Do not say “we used fake data because we had no real data.” Give the three methodological reasons.</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12</w:t>
      </w:r>
      <w:r>
        <w:rPr>
          <w:rFonts w:ascii="Arial" w:cs="Arial" w:eastAsia="Arial" w:hAnsi="Arial"/>
          <w:b/>
          <w:bCs/>
          <w:color w:val="1F3864"/>
          <w:sz w:val="24"/>
          <w:szCs w:val="24"/>
        </w:rPr>
        <w:t xml:space="preserve">   Results</w:t>
      </w:r>
      <w:r>
        <w:rPr>
          <w:rFonts w:ascii="Calibri" w:cs="Calibri" w:eastAsia="Calibri" w:hAnsi="Calibri"/>
          <w:color w:val="5A6B85"/>
          <w:sz w:val="18"/>
          <w:szCs w:val="18"/>
        </w:rPr>
        <w:t xml:space="preserve">   ·  1.5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This is the main results table. Every error metric decreases monotonically across the three configurations.</w:t>
      </w:r>
    </w:p>
    <w:p>
      <w:pPr>
        <w:spacing w:after="100" w:line="330"/>
      </w:pPr>
      <w:r>
        <w:rPr>
          <w:rFonts w:ascii="Calibri" w:cs="Calibri" w:eastAsia="Calibri" w:hAnsi="Calibri"/>
          <w:color w:val="1A1A1A"/>
          <w:sz w:val="21"/>
          <w:szCs w:val="21"/>
        </w:rPr>
        <w:t xml:space="preserve">Baseline produced no acceptable output on any of the 150 panels. It misstated the direction of an analyte in 91.3% of panels and used forbidden clinical terminology in 79.3%.</w:t>
      </w:r>
    </w:p>
    <w:p>
      <w:pPr>
        <w:spacing w:after="100" w:line="330"/>
      </w:pPr>
      <w:r>
        <w:rPr>
          <w:rFonts w:ascii="Calibri" w:cs="Calibri" w:eastAsia="Calibri" w:hAnsi="Calibri"/>
          <w:color w:val="1A1A1A"/>
          <w:sz w:val="21"/>
          <w:szCs w:val="21"/>
        </w:rPr>
        <w:t xml:space="preserve">Most consequentially, the false reassurance column: 32%. Roughly one patient in three with abnormal results would have been told that nothing required attention.</w:t>
      </w:r>
    </w:p>
    <w:p>
      <w:pPr>
        <w:spacing w:after="100" w:line="330"/>
      </w:pPr>
      <w:r>
        <w:rPr>
          <w:rFonts w:ascii="Calibri" w:cs="Calibri" w:eastAsia="Calibri" w:hAnsi="Calibri"/>
          <w:color w:val="1A1A1A"/>
          <w:sz w:val="21"/>
          <w:szCs w:val="21"/>
        </w:rPr>
        <w:t xml:space="preserve">The constrained configuration improves substantially, but 52% of its outputs still failed validation. Instruction does not guarantee compliance.</w:t>
      </w:r>
    </w:p>
    <w:p>
      <w:pPr>
        <w:spacing w:after="100" w:line="330"/>
      </w:pPr>
      <w:r>
        <w:rPr>
          <w:rFonts w:ascii="Calibri" w:cs="Calibri" w:eastAsia="Calibri" w:hAnsi="Calibri"/>
          <w:color w:val="1A1A1A"/>
          <w:sz w:val="21"/>
          <w:szCs w:val="21"/>
        </w:rPr>
        <w:t xml:space="preserve">The full configuration reached 100% safe output.</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Pause on 32% and translate it: one patient in three.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13</w:t>
      </w:r>
      <w:r>
        <w:rPr>
          <w:rFonts w:ascii="Arial" w:cs="Arial" w:eastAsia="Arial" w:hAnsi="Arial"/>
          <w:b/>
          <w:bCs/>
          <w:color w:val="1F3864"/>
          <w:sz w:val="24"/>
          <w:szCs w:val="24"/>
        </w:rPr>
        <w:t xml:space="preserve">   Three key findings</w:t>
      </w:r>
      <w:r>
        <w:rPr>
          <w:rFonts w:ascii="Calibri" w:cs="Calibri" w:eastAsia="Calibri" w:hAnsi="Calibri"/>
          <w:color w:val="5A6B85"/>
          <w:sz w:val="18"/>
          <w:szCs w:val="18"/>
        </w:rPr>
        <w:t xml:space="preserve">   ·  1.2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Three numbers summarise the work.</w:t>
      </w:r>
    </w:p>
    <w:p>
      <w:pPr>
        <w:spacing w:after="100" w:line="330"/>
      </w:pPr>
      <w:r>
        <w:rPr>
          <w:rFonts w:ascii="Calibri" w:cs="Calibri" w:eastAsia="Calibri" w:hAnsi="Calibri"/>
          <w:color w:val="1A1A1A"/>
          <w:sz w:val="21"/>
          <w:szCs w:val="21"/>
        </w:rPr>
        <w:t xml:space="preserve">False reassurance, from 32% to zero. Direction mismatch, from 91.3% to zero — the model judging for itself fails almost always; moved to a rule layer, classification becomes exact.</w:t>
      </w:r>
    </w:p>
    <w:p>
      <w:pPr>
        <w:spacing w:after="100" w:line="330"/>
      </w:pPr>
      <w:r>
        <w:rPr>
          <w:rFonts w:ascii="Calibri" w:cs="Calibri" w:eastAsia="Calibri" w:hAnsi="Calibri"/>
          <w:color w:val="1A1A1A"/>
          <w:sz w:val="21"/>
          <w:szCs w:val="21"/>
        </w:rPr>
        <w:t xml:space="preserve">And 48%: over half of prompt-constrained outputs still failed, which shows that instruction alone is not sufficient.</w:t>
      </w:r>
    </w:p>
    <w:p>
      <w:pPr>
        <w:spacing w:after="100" w:line="330"/>
      </w:pPr>
      <w:r>
        <w:rPr>
          <w:rFonts w:ascii="Calibri" w:cs="Calibri" w:eastAsia="Calibri" w:hAnsi="Calibri"/>
          <w:color w:val="1A1A1A"/>
          <w:sz w:val="21"/>
          <w:szCs w:val="21"/>
        </w:rPr>
        <w:t xml:space="preserve">I want to be explicit about the 100% figure. Of that, 64% was generated by the model and 36% fell back to fixed templates. The guarantee is a property of the pipeline, not evidence that a three-billion-parameter model performs this task reliably.</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DO NOT DROP the qualification about 64% and 36%. If the audience works it out themselves, the credibility cost is far higher.</w:t>
      </w:r>
    </w:p>
    <w:p>
      <w:pPr>
        <w:spacing w:after="60" w:before="140"/>
      </w:pPr>
      <w:r>
        <w:rPr>
          <w:rFonts w:ascii="Arial" w:cs="Arial" w:eastAsia="Arial" w:hAnsi="Arial"/>
          <w:b/>
          <w:bCs/>
          <w:color w:val="C62828"/>
          <w:sz w:val="19"/>
          <w:szCs w:val="19"/>
        </w:rPr>
        <w:t xml:space="preserve">Avoid saying</w:t>
      </w:r>
    </w:p>
    <w:p>
      <w:pPr>
        <w:spacing w:after="70" w:line="330"/>
      </w:pPr>
      <w:r>
        <w:rPr>
          <w:rFonts w:ascii="Calibri" w:cs="Calibri" w:eastAsia="Calibri" w:hAnsi="Calibri"/>
          <w:color w:val="7A1F1F"/>
          <w:sz w:val="20"/>
          <w:szCs w:val="20"/>
        </w:rPr>
        <w:t xml:space="preserve">✗  Never say “our system is 100% accurate.” Say “100% safe output,” and qualify it immediately.</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14</w:t>
      </w:r>
      <w:r>
        <w:rPr>
          <w:rFonts w:ascii="Arial" w:cs="Arial" w:eastAsia="Arial" w:hAnsi="Arial"/>
          <w:b/>
          <w:bCs/>
          <w:color w:val="1F3864"/>
          <w:sz w:val="24"/>
          <w:szCs w:val="24"/>
        </w:rPr>
        <w:t xml:space="preserve">   Discussion</w:t>
      </w:r>
      <w:r>
        <w:rPr>
          <w:rFonts w:ascii="Calibri" w:cs="Calibri" w:eastAsia="Calibri" w:hAnsi="Calibri"/>
          <w:color w:val="5A6B85"/>
          <w:sz w:val="18"/>
          <w:szCs w:val="18"/>
        </w:rPr>
        <w:t xml:space="preserve">   ·  1 min</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Two observations.</w:t>
      </w:r>
    </w:p>
    <w:p>
      <w:pPr>
        <w:spacing w:after="100" w:line="330"/>
      </w:pPr>
      <w:r>
        <w:rPr>
          <w:rFonts w:ascii="Calibri" w:cs="Calibri" w:eastAsia="Calibri" w:hAnsi="Calibri"/>
          <w:color w:val="1A1A1A"/>
          <w:sz w:val="21"/>
          <w:szCs w:val="21"/>
        </w:rPr>
        <w:t xml:space="preserve">First, false reassurance deserves its own metric. Current evaluations report readability and factual accuracy, but a falsely reassuring sentence may score high on readability precisely because it is simple and calming.</w:t>
      </w:r>
    </w:p>
    <w:p>
      <w:pPr>
        <w:spacing w:after="100" w:line="330"/>
      </w:pPr>
      <w:r>
        <w:rPr>
          <w:rFonts w:ascii="Calibri" w:cs="Calibri" w:eastAsia="Calibri" w:hAnsi="Calibri"/>
          <w:color w:val="1A1A1A"/>
          <w:sz w:val="21"/>
          <w:szCs w:val="21"/>
        </w:rPr>
        <w:t xml:space="preserve">Second, unit standardisation is a safety precondition rather than a technical convenience. The unit error occurred inside the rule layer, and no downstream validation detects it, because every later layer faithfully reproduces a confidently wrong label.</w:t>
      </w:r>
    </w:p>
    <w:p>
      <w:pPr>
        <w:spacing w:after="100" w:line="330"/>
      </w:pPr>
      <w:r>
        <w:rPr>
          <w:rFonts w:ascii="Calibri" w:cs="Calibri" w:eastAsia="Calibri" w:hAnsi="Calibri"/>
          <w:color w:val="1A1A1A"/>
          <w:sz w:val="21"/>
          <w:szCs w:val="21"/>
        </w:rPr>
        <w:t xml:space="preserve">This connects directly to the data standardisation theme of Panel 3 at this conference.</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15</w:t>
      </w:r>
      <w:r>
        <w:rPr>
          <w:rFonts w:ascii="Arial" w:cs="Arial" w:eastAsia="Arial" w:hAnsi="Arial"/>
          <w:b/>
          <w:bCs/>
          <w:color w:val="1F3864"/>
          <w:sz w:val="24"/>
          <w:szCs w:val="24"/>
        </w:rPr>
        <w:t xml:space="preserve">   Limitations</w:t>
      </w:r>
      <w:r>
        <w:rPr>
          <w:rFonts w:ascii="Calibri" w:cs="Calibri" w:eastAsia="Calibri" w:hAnsi="Calibri"/>
          <w:color w:val="5A6B85"/>
          <w:sz w:val="18"/>
          <w:szCs w:val="18"/>
        </w:rPr>
        <w:t xml:space="preserve">   ·  40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Four limitations I want to state plainly.</w:t>
      </w:r>
    </w:p>
    <w:p>
      <w:pPr>
        <w:spacing w:after="100" w:line="330"/>
      </w:pPr>
      <w:r>
        <w:rPr>
          <w:rFonts w:ascii="Calibri" w:cs="Calibri" w:eastAsia="Calibri" w:hAnsi="Calibri"/>
          <w:color w:val="1A1A1A"/>
          <w:sz w:val="21"/>
          <w:szCs w:val="21"/>
        </w:rPr>
        <w:t xml:space="preserve">No clinical validation — all evaluation is automated, and no medical professional has reviewed the explanations.</w:t>
      </w:r>
    </w:p>
    <w:p>
      <w:pPr>
        <w:spacing w:after="100" w:line="330"/>
      </w:pPr>
      <w:r>
        <w:rPr>
          <w:rFonts w:ascii="Calibri" w:cs="Calibri" w:eastAsia="Calibri" w:hAnsi="Calibri"/>
          <w:color w:val="1A1A1A"/>
          <w:sz w:val="21"/>
          <w:szCs w:val="21"/>
        </w:rPr>
        <w:t xml:space="preserve">Severity thresholds were set heuristically, not against any laboratory's critical value list.</w:t>
      </w:r>
    </w:p>
    <w:p>
      <w:pPr>
        <w:spacing w:after="100" w:line="330"/>
      </w:pPr>
      <w:r>
        <w:rPr>
          <w:rFonts w:ascii="Calibri" w:cs="Calibri" w:eastAsia="Calibri" w:hAnsi="Calibri"/>
          <w:color w:val="1A1A1A"/>
          <w:sz w:val="21"/>
          <w:szCs w:val="21"/>
        </w:rPr>
        <w:t xml:space="preserve">The data is synthetic, and the scope covers only the complete blood count.</w:t>
      </w:r>
    </w:p>
    <w:p>
      <w:pPr>
        <w:spacing w:after="60" w:before="140"/>
      </w:pPr>
      <w:r>
        <w:rPr>
          <w:rFonts w:ascii="Arial" w:cs="Arial" w:eastAsia="Arial" w:hAnsi="Arial"/>
          <w:b/>
          <w:bCs/>
          <w:color w:val="2E7D32"/>
          <w:sz w:val="19"/>
          <w:szCs w:val="19"/>
        </w:rPr>
        <w:t xml:space="preserve">Emphasise</w:t>
      </w:r>
    </w:p>
    <w:p>
      <w:pPr>
        <w:spacing w:after="70" w:line="330"/>
      </w:pPr>
      <w:r>
        <w:rPr>
          <w:rFonts w:ascii="Calibri" w:cs="Calibri" w:eastAsia="Calibri" w:hAnsi="Calibri"/>
          <w:color w:val="1A3D1F"/>
          <w:sz w:val="20"/>
          <w:szCs w:val="20"/>
        </w:rPr>
        <w:t xml:space="preserve">▸  Deliver this directly and calmly. Stating limitations before being asked builds credibility.</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16</w:t>
      </w:r>
      <w:r>
        <w:rPr>
          <w:rFonts w:ascii="Arial" w:cs="Arial" w:eastAsia="Arial" w:hAnsi="Arial"/>
          <w:b/>
          <w:bCs/>
          <w:color w:val="1F3864"/>
          <w:sz w:val="24"/>
          <w:szCs w:val="24"/>
        </w:rPr>
        <w:t xml:space="preserve">   Conclusion and future work</w:t>
      </w:r>
      <w:r>
        <w:rPr>
          <w:rFonts w:ascii="Calibri" w:cs="Calibri" w:eastAsia="Calibri" w:hAnsi="Calibri"/>
          <w:color w:val="5A6B85"/>
          <w:sz w:val="18"/>
          <w:szCs w:val="18"/>
        </w:rPr>
        <w:t xml:space="preserve">   ·  40 sec</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In summary: the language model is not permitted to judge whether a value is abnormal. Rules decide first, the model paraphrases, and a validator checks one against the other.</w:t>
      </w:r>
    </w:p>
    <w:p>
      <w:pPr>
        <w:spacing w:after="100" w:line="330"/>
      </w:pPr>
      <w:r>
        <w:rPr>
          <w:rFonts w:ascii="Calibri" w:cs="Calibri" w:eastAsia="Calibri" w:hAnsi="Calibri"/>
          <w:color w:val="1A1A1A"/>
          <w:sz w:val="21"/>
          <w:szCs w:val="21"/>
        </w:rPr>
        <w:t xml:space="preserve">The highest priority for future work is clinical validation by medical professionals. After that: replacing heuristic thresholds with a critical value list, extending scope, and adding a speech output layer for elderly patients.</w:t>
      </w:r>
    </w:p>
    <w:p>
      <w:pPr>
        <w:pBdr>
          <w:bottom w:val="single" w:color="C8D6E8" w:sz="6" w:space="1"/>
        </w:pBdr>
        <w:spacing w:after="200" w:before="200"/>
      </w:pPr>
      <w:r>
        <w:t xml:space="preserve"/>
      </w:r>
    </w:p>
    <w:p>
      <w:pPr>
        <w:pBdr>
          <w:left w:val="single" w:color="1F3864" w:sz="18" w:space="6"/>
        </w:pBdr>
        <w:shd w:fill="E8EFF7" w:val="clear"/>
        <w:spacing w:after="140" w:before="320"/>
      </w:pPr>
      <w:r>
        <w:rPr>
          <w:rFonts w:ascii="Arial" w:cs="Arial" w:eastAsia="Arial" w:hAnsi="Arial"/>
          <w:b/>
          <w:bCs/>
          <w:color w:val="1565C0"/>
          <w:sz w:val="20"/>
          <w:szCs w:val="20"/>
        </w:rPr>
        <w:t xml:space="preserve">SLIDE 17</w:t>
      </w:r>
      <w:r>
        <w:rPr>
          <w:rFonts w:ascii="Arial" w:cs="Arial" w:eastAsia="Arial" w:hAnsi="Arial"/>
          <w:b/>
          <w:bCs/>
          <w:color w:val="1F3864"/>
          <w:sz w:val="24"/>
          <w:szCs w:val="24"/>
        </w:rPr>
        <w:t xml:space="preserve">   Thank you and Q&amp;A</w:t>
      </w:r>
      <w:r>
        <w:rPr>
          <w:rFonts w:ascii="Calibri" w:cs="Calibri" w:eastAsia="Calibri" w:hAnsi="Calibri"/>
          <w:color w:val="5A6B85"/>
          <w:sz w:val="18"/>
          <w:szCs w:val="18"/>
        </w:rPr>
        <w:t xml:space="preserve">   ·  remaining</w:t>
      </w:r>
    </w:p>
    <w:p>
      <w:pPr>
        <w:spacing w:after="60" w:before="140"/>
      </w:pPr>
      <w:r>
        <w:rPr>
          <w:rFonts w:ascii="Arial" w:cs="Arial" w:eastAsia="Arial" w:hAnsi="Arial"/>
          <w:b/>
          <w:bCs/>
          <w:color w:val="1565C0"/>
          <w:sz w:val="19"/>
          <w:szCs w:val="19"/>
        </w:rPr>
        <w:t xml:space="preserve">Say</w:t>
      </w:r>
    </w:p>
    <w:p>
      <w:pPr>
        <w:spacing w:after="100" w:line="330"/>
      </w:pPr>
      <w:r>
        <w:rPr>
          <w:rFonts w:ascii="Calibri" w:cs="Calibri" w:eastAsia="Calibri" w:hAnsi="Calibri"/>
          <w:color w:val="1A1A1A"/>
          <w:sz w:val="21"/>
          <w:szCs w:val="21"/>
        </w:rPr>
        <w:t xml:space="preserve">Thank you for your attention. I am happy to take questions.</w:t>
      </w:r>
    </w:p>
    <w:p>
      <w:r>
        <w:br w:type="page"/>
      </w:r>
    </w:p>
    <w:p>
      <w:pPr>
        <w:pStyle w:val="Heading1"/>
        <w:spacing w:after="160" w:before="240"/>
      </w:pPr>
      <w:r>
        <w:rPr>
          <w:rFonts w:ascii="Arial" w:cs="Arial" w:eastAsia="Arial" w:hAnsi="Arial"/>
          <w:b/>
          <w:bCs/>
          <w:color w:val="1F3864"/>
          <w:sz w:val="30"/>
          <w:szCs w:val="30"/>
        </w:rPr>
        <w:t xml:space="preserve">Q&amp;A preparation</w:t>
      </w:r>
    </w:p>
    <w:p>
      <w:pPr>
        <w:spacing w:after="180" w:line="330"/>
      </w:pPr>
      <w:r>
        <w:rPr>
          <w:rFonts w:ascii="Calibri" w:cs="Calibri" w:eastAsia="Calibri" w:hAnsi="Calibri"/>
          <w:i/>
          <w:iCs/>
          <w:color w:val="5A6B85"/>
          <w:sz w:val="20"/>
          <w:szCs w:val="20"/>
        </w:rPr>
        <w:t xml:space="preserve">The ten most likely questions, with suggested responses. General rule: where you lack data, say so plainly rather than speculating.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10"/>
              <w:bottom w:type="dxa" w:w="80"/>
              <w:right w:type="dxa" w:w="110"/>
            </w:tcMar>
          </w:tcPr>
          <w:p>
            <w:pPr>
              <w:spacing w:after="0" w:line="330"/>
            </w:pPr>
            <w:r>
              <w:rPr>
                <w:rFonts w:ascii="Arial" w:cs="Arial" w:eastAsia="Arial" w:hAnsi="Arial"/>
                <w:b/>
                <w:bCs/>
                <w:color w:val="FFFFFF"/>
                <w:sz w:val="19"/>
                <w:szCs w:val="19"/>
              </w:rPr>
              <w:t xml:space="preserve">Likely question</w:t>
            </w:r>
          </w:p>
        </w:tc>
        <w:tc>
          <w:tcPr>
            <w:tcW w:type="dxa" w:w="5800"/>
            <w:shd w:fill="1F3864" w:val="clear"/>
            <w:tcMar>
              <w:top w:type="dxa" w:w="80"/>
              <w:left w:type="dxa" w:w="110"/>
              <w:bottom w:type="dxa" w:w="80"/>
              <w:right w:type="dxa" w:w="110"/>
            </w:tcMar>
          </w:tcPr>
          <w:p>
            <w:pPr>
              <w:spacing w:after="0" w:line="330"/>
            </w:pPr>
            <w:r>
              <w:rPr>
                <w:rFonts w:ascii="Arial" w:cs="Arial" w:eastAsia="Arial" w:hAnsi="Arial"/>
                <w:b/>
                <w:bCs/>
                <w:color w:val="FFFFFF"/>
                <w:sz w:val="19"/>
                <w:szCs w:val="19"/>
              </w:rPr>
              <w:t xml:space="preserve">Suggested response</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Why synthetic data rather than real reports?</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Three reasons: ground truth labels are needed to measure consistency, a balanced design is needed because real panels are mostly normal, and it avoids handling patient data. This is stated as a limitation, and evaluation on real reports is future work.</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What justifies the threshold between “monitor” and “seek care”?</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It is currently heuristic, set to demonstrate the architecture, and not validated against any critical value list. This is stated in the paper. A strength of the design is that replacing the threshold changes nothing else in the architecture.</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Is a 3B model too small? Why not use a larger one?</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The choice is deliberate: laboratory data is sensitive and the system should run locally. A larger model would raise the 64% model-generated rate, but would not change the safety guarantee — that comes from Layer 4, not from the model.</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Is the 36% template fallback a failure?</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It is the cost of using a small model. For that fraction, the system degrades to something no better than the original report — but no worse, and never misleading. That is the trade-off we accept in exchange for the guarantee.</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Is 68 seconds per panel too slow for real use?</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This is a task performed once per report rather than interactively, so the latency is tolerable. And it buys two things: data never leaves the institution, and no GPU investment is required.</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Can the pattern-based validator be evaded?</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Yes, and we state this in the Limitations. It bounds the errors it was designed to detect, not all unsafe content. Indirect phrasing can pass.</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Does this replace the doctor?</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No, and the design deliberately prevents that. The system is forbidden from diagnosing, attributing causes, or suggesting medication. It explains what an analyte measures and how far it deviates, with an explicit disclaimer.</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Are there plans for hospital deployment?</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Not yet — clinical validation is a precondition. This is a research prototype. We are currently developing a web application from this architecture.</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Why separate false reassurance from the other errors?</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Because the consequence differs. A terminological error is visible and invites checking; false reassurance is fluent and stops people seeking care. And our data show prompt constraints do not eliminate it — 8% remained.</w:t>
            </w:r>
          </w:p>
        </w:tc>
      </w:tr>
      <w:tr>
        <w:tc>
          <w:tcPr>
            <w:tcW w:type="dxa" w:w="3200"/>
            <w:tcMar>
              <w:top w:type="dxa" w:w="80"/>
              <w:left w:type="dxa" w:w="110"/>
              <w:bottom w:type="dxa" w:w="80"/>
              <w:right w:type="dxa" w:w="110"/>
            </w:tcMar>
          </w:tcPr>
          <w:p>
            <w:pPr>
              <w:spacing w:after="0" w:line="330"/>
            </w:pPr>
            <w:r>
              <w:rPr>
                <w:rFonts w:ascii="Calibri" w:cs="Calibri" w:eastAsia="Calibri" w:hAnsi="Calibri"/>
                <w:b/>
                <w:bCs/>
                <w:color w:val="1F3864"/>
                <w:sz w:val="19"/>
                <w:szCs w:val="19"/>
              </w:rPr>
              <w:t xml:space="preserve">Does the approach generalise to other test types?</w:t>
            </w:r>
          </w:p>
        </w:tc>
        <w:tc>
          <w:tcPr>
            <w:tcW w:type="dxa" w:w="5800"/>
            <w:tcMar>
              <w:top w:type="dxa" w:w="80"/>
              <w:left w:type="dxa" w:w="110"/>
              <w:bottom w:type="dxa" w:w="80"/>
              <w:right w:type="dxa" w:w="110"/>
            </w:tcMar>
          </w:tcPr>
          <w:p>
            <w:pPr>
              <w:spacing w:after="0" w:line="330"/>
            </w:pPr>
            <w:r>
              <w:rPr>
                <w:rFonts w:ascii="Calibri" w:cs="Calibri" w:eastAsia="Calibri" w:hAnsi="Calibri"/>
                <w:b w:val="false"/>
                <w:bCs w:val="false"/>
                <w:color w:val="1A1A1A"/>
                <w:sz w:val="19"/>
                <w:szCs w:val="19"/>
              </w:rPr>
              <w:t xml:space="preserve">The architecture does, since it is not specific to any test. But the rule layer needs extending to handle one-sided reference intervals and qualitative results, which are not currently supported.</w:t>
            </w:r>
          </w:p>
        </w:tc>
      </w:tr>
    </w:tbl>
    <w:p>
      <w:pPr>
        <w:pStyle w:val="Heading1"/>
        <w:spacing w:after="160" w:before="240"/>
      </w:pPr>
      <w:r>
        <w:rPr>
          <w:rFonts w:ascii="Arial" w:cs="Arial" w:eastAsia="Arial" w:hAnsi="Arial"/>
          <w:b/>
          <w:bCs/>
          <w:color w:val="1F3864"/>
          <w:sz w:val="30"/>
          <w:szCs w:val="30"/>
        </w:rPr>
        <w:t xml:space="preserve">Delivery notes</w:t>
      </w:r>
    </w:p>
    <w:p>
      <w:pPr>
        <w:pStyle w:val="ListParagraph"/>
        <w:numPr>
          <w:ilvl w:val="0"/>
          <w:numId w:val="2"/>
        </w:numPr>
        <w:spacing w:after="90" w:line="330"/>
      </w:pPr>
      <w:r>
        <w:rPr>
          <w:rFonts w:ascii="Calibri" w:cs="Calibri" w:eastAsia="Calibri" w:hAnsi="Calibri"/>
          <w:color w:val="1A1A1A"/>
          <w:sz w:val="20"/>
          <w:szCs w:val="20"/>
        </w:rPr>
        <w:t xml:space="preserve">Speak more slowly than feels natural. Part of the audience will be listening in a second language.</w:t>
      </w:r>
    </w:p>
    <w:p>
      <w:pPr>
        <w:pStyle w:val="ListParagraph"/>
        <w:numPr>
          <w:ilvl w:val="0"/>
          <w:numId w:val="2"/>
        </w:numPr>
        <w:spacing w:after="90" w:line="330"/>
      </w:pPr>
      <w:r>
        <w:rPr>
          <w:rFonts w:ascii="Calibri" w:cs="Calibri" w:eastAsia="Calibri" w:hAnsi="Calibri"/>
          <w:color w:val="1A1A1A"/>
          <w:sz w:val="20"/>
          <w:szCs w:val="20"/>
        </w:rPr>
        <w:t xml:space="preserve">Slides 5 and 12 are the two points to pause for a few seconds and let the audience read.</w:t>
      </w:r>
    </w:p>
    <w:p>
      <w:pPr>
        <w:pStyle w:val="ListParagraph"/>
        <w:numPr>
          <w:ilvl w:val="0"/>
          <w:numId w:val="2"/>
        </w:numPr>
        <w:spacing w:after="90" w:line="330"/>
      </w:pPr>
      <w:r>
        <w:rPr>
          <w:rFonts w:ascii="Calibri" w:cs="Calibri" w:eastAsia="Calibri" w:hAnsi="Calibri"/>
          <w:color w:val="1A1A1A"/>
          <w:sz w:val="20"/>
          <w:szCs w:val="20"/>
        </w:rPr>
        <w:t xml:space="preserve">If you run short on time, compress slides 9 and 15 — never slide 13.</w:t>
      </w:r>
    </w:p>
    <w:p>
      <w:pPr>
        <w:pStyle w:val="ListParagraph"/>
        <w:numPr>
          <w:ilvl w:val="0"/>
          <w:numId w:val="2"/>
        </w:numPr>
        <w:spacing w:after="90" w:line="330"/>
      </w:pPr>
      <w:r>
        <w:rPr>
          <w:rFonts w:ascii="Calibri" w:cs="Calibri" w:eastAsia="Calibri" w:hAnsi="Calibri"/>
          <w:color w:val="1A1A1A"/>
          <w:sz w:val="20"/>
          <w:szCs w:val="20"/>
        </w:rPr>
        <w:t xml:space="preserve">Prepare a stock response for questions you cannot answer: “We do not have data on that. I will note it and follow up after the session.”</w:t>
      </w:r>
    </w:p>
    <w:p>
      <w:pPr>
        <w:pStyle w:val="ListParagraph"/>
        <w:numPr>
          <w:ilvl w:val="0"/>
          <w:numId w:val="2"/>
        </w:numPr>
        <w:spacing w:after="90" w:line="330"/>
      </w:pPr>
      <w:r>
        <w:rPr>
          <w:rFonts w:ascii="Calibri" w:cs="Calibri" w:eastAsia="Calibri" w:hAnsi="Calibri"/>
          <w:color w:val="1A1A1A"/>
          <w:sz w:val="20"/>
          <w:szCs w:val="20"/>
        </w:rPr>
        <w:t xml:space="preserve">Bring a printed copy of this document and a backup of the slides on a USB drive.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6E8" w:sz="4" w:space="4"/>
      </w:pBdr>
      <w:spacing w:after="60"/>
      <w:jc w:val="right"/>
    </w:pPr>
    <w:r>
      <w:rPr>
        <w:rFonts w:ascii="Calibri" w:cs="Calibri" w:eastAsia="Calibri" w:hAnsi="Calibri"/>
        <w:color w:val="5A6B85"/>
        <w:sz w:val="16"/>
        <w:szCs w:val="16"/>
      </w:rPr>
      <w:t xml:space="preserve">Presentation Script — HEALTHINFO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 — HEALTHINFO IV</dc:title>
  <dc:creator>Vo Hoang Khang</dc:creator>
  <cp:lastModifiedBy>Un-named</cp:lastModifiedBy>
  <cp:revision>1</cp:revision>
  <dcterms:created xsi:type="dcterms:W3CDTF">2026-09-29T10:30:20.471Z</dcterms:created>
  <dcterms:modified xsi:type="dcterms:W3CDTF">2026-09-29T10:30:20.471Z</dcterms:modified>
</cp:coreProperties>
</file>

<file path=docProps/custom.xml><?xml version="1.0" encoding="utf-8"?>
<Properties xmlns="http://schemas.openxmlformats.org/officeDocument/2006/custom-properties" xmlns:vt="http://schemas.openxmlformats.org/officeDocument/2006/docPropsVTypes"/>
</file>