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Rule-Consistent Explanation of Vietnamese Complete Blood Count Results</w:t>
      </w:r>
    </w:p>
    <w:p w14:paraId="2EAE67A6" w14:textId="77777777" w:rsidR="00527631" w:rsidRDefault="00407B88">
      <w:pPr>
        <w:pStyle w:val="author"/>
      </w:pPr>
      <w:r>
        <w:rPr/>
        <w:t>Vo Hoang Khang</w:t>
      </w:r>
      <w:r>
        <w:rPr>
          <w:vertAlign w:val="superscript"/>
        </w:rPr>
        <w:t>1,2,*</w:t>
      </w:r>
      <w:r>
        <w:rPr/>
        <w:t xml:space="preserve"> and Truong Quang Dai</w:t>
      </w:r>
      <w:r>
        <w:rPr>
          <w:vertAlign w:val="superscript"/>
        </w:rPr>
        <w:t>1,2,3</w:t>
      </w:r>
      <w:proofErr w:type="gramStart"/>
      <w:proofErr w:type="gramEnd"/>
    </w:p>
    <w:p w14:paraId="73CB15EE" w14:textId="372AE849" w:rsidR="00527631" w:rsidRDefault="00407B88">
      <w:pPr>
        <w:pStyle w:val="address"/>
      </w:pPr>
      <w:r>
        <w:rPr>
          <w:vertAlign w:val="superscript"/>
        </w:rPr>
        <w:t>1</w:t>
      </w:r>
      <w:r>
        <w:rPr/>
        <w:t xml:space="preserve"> Vietnam-Korea Institute of Technology, HUTECH University, Ho Chi Minh City, Vietnam</w:t>
      </w:r>
    </w:p>
    <w:p w14:paraId="73CB15EE" w14:textId="372AE849" w:rsidR="00527631" w:rsidRDefault="00407B88">
      <w:pPr>
        <w:pStyle w:val="address"/>
      </w:pPr>
      <w:r>
        <w:rPr>
          <w:vertAlign w:val="superscript"/>
        </w:rPr>
        <w:t>2</w:t>
      </w:r>
      <w:r>
        <w:rPr/>
        <w:t xml:space="preserve"> Faculty of Information Technology, HUTECH University, Ho Chi Minh City, Vietnam</w:t>
      </w:r>
    </w:p>
    <w:p w14:paraId="73CB15EE" w14:textId="372AE849" w:rsidR="00527631" w:rsidRDefault="00407B88">
      <w:pPr>
        <w:pStyle w:val="address"/>
      </w:pPr>
      <w:r>
        <w:rPr>
          <w:vertAlign w:val="superscript"/>
        </w:rPr>
        <w:t>3</w:t>
      </w:r>
      <w:r>
        <w:rPr/>
        <w:t xml:space="preserve"> FPT Telecom, Ho Chi Minh City, Vietnam</w:t>
      </w:r>
    </w:p>
    <w:p w14:paraId="5115485E" w14:textId="7B5C5385" w:rsidR="00527631" w:rsidRDefault="003918C6">
      <w:pPr>
        <w:pStyle w:val="address"/>
      </w:pPr>
      <w:r>
        <w:rPr/>
        <w:t>{vh.khang@hutech.edu.vn, truongquangdaihutech@gmail.com}</w:t>
      </w:r>
    </w:p>
    <w:p w14:paraId="38861032" w14:textId="77777777" w:rsidR="00527631" w:rsidRDefault="00407B88">
      <w:pPr>
        <w:pStyle w:val="address"/>
      </w:pPr>
      <w:r>
        <w:rPr/>
        <w:t>* Corresponding author: Vo Hoang Khang (vh.khang@hutech.edu.vn)</w:t>
      </w:r>
    </w:p>
    <w:p w14:paraId="0A282409" w14:textId="04BA52E2" w:rsidR="00527631" w:rsidRDefault="00407B88">
      <w:pPr>
        <w:pStyle w:val="abstract"/>
      </w:pPr>
      <w:r>
        <w:rPr>
          <w:b/>
        </w:rPr>
        <w:t>Abstract. Vietnamese patients increasingly ask general-purpose language models to explain laboratory reports, yet an unconstrained model can misstate results or falsely reassure. This study evaluates a rule-constrained pipeline in which deterministic rules assign every clinical label before invoking a language model; the model only paraphrases those labels, and a post-generation validator checks the output. On 150 synthetic complete blood count panels with known labels, an unconstrained Qwen2.5-3B model misstated at least one analyte direction in 91.3% of panels (95% CI 85.7–94.9) and falsely reassured in 32.0% (25.1–39.8). Prompt constraints reduced these rates to 12.7% and 8.0%; adding validation left no output violating the implemented checks, with 64.0% of panels served by model text and 36.0% by fixed templates. Two comparisons bound what this shows: a template-only configuration reaches the same pass rate with no model at all, and a 7B model cuts the template share to 4.0% while raising unconstrained false reassurance to 46.7%. The measure therefore reports rule consistency under the implemented checks, not clinical safety, and size does not substitute for the rule layer. Readability and patient comprehension were not measured.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t>Three questions guide the study: (RQ1) How often does unconstrained generation misstate results or falsely reassure on panels with known labels? (RQ2) How much do rule-assigned labels and prompt constraints reduce these errors? (RQ3) Can a post-generation validator eliminate outputs that violate the implemented checks, and what does that cost in fallback rate and latency? The study is an internal evaluation on synthetic data, not a clinical trial, and it does not measure whether patients understand the output.</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t>The contribution is not a new language model but a safety architecture for rule-consistent patient-facing explanation, and it addresses three gaps. First, studies of language models on medical results evaluate answer quality without isolating false reassurance, although that error is the one that removes the reason to seek care. Second, controlled decoding enforces the structure of an output but not its agreement with a clinical label assigned outside the model. Third, unit harmonisation is treated as an interoperability problem, whereas here an unconverted unit is a safety failure inside the rule layer itself. The paper does not propose a new language model and does not claim clinical benefit.</w:t>
      </w:r>
    </w:p>
    <w:p w14:paraId="4C40915E" w14:textId="7B0A6B3C" w:rsidR="00527631" w:rsidRDefault="00407B88">
      <w:pPr>
        <w:pStyle w:val="p1a"/>
      </w:pPr>
      <w:r>
        <w:t>Rules that decide and a model that only renders those decisions is an established pattern rather than a new one. Guardrail toolkits place programmable checks around a language model [18], and the data-to-text literature has long separated content selection from surface realisation [19]. Work on data-to-document generation reports that neural generators misstate facts present in their input [20], and accuracy evaluation in that field relies on human protocols rather than automatic scores [21]. Our pipeline inherits that division of labour and adds nothing to it architecturally. What we contribute is narrower: false reassurance measured as a separate class, the cost of the pass rate reported alongside it, and a quantified failure of the deterministic layer under Vietnamese unit conventions.</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130–175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sj is an analyte-specific severity factor between 0.15 and 0.50 for the 22 analytes. The factors were set heuristically, not from a critical-value list. The panel label is the most severe analyte label, so classification is exact with respect to the configured intervals and severity factors and cannot be altered by the model; this is not a claim that those thresholds are clinically validated. The names monitor and seek care denote deviation categories, not triage advice: mapping one to patient-facing wording would require validation against a laboratory’s critical-value policy and clinician review. Intervals come from one Vietnamese laboratory for adults; both are listed per analyte, with provenance, in Appendix A.</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false reassurance in the closing statement, direction mismatch in the structured status field, contradictory wording in the prose, forbidden terms, fabricated analytes, and omitted analytes. Before matching, text is lower-cased, Vietnamese diacritics are removed, and phrases naming the reference interval are masked so that “normal” is not read as a status claim. A failing output is regenerated up to a limit and then replaced by a fixed template stating value, interval, and label, so no unvalidated model text is returned. The checks are lexical and bound by their patterns: an output can satisfy all six and still mislead through indirect phrasing. Appendix B gives the algorithm, the pattern table for each class, and worked cases.</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(mean 14.1, 2,118 readings), divided equally into normal, monitor, and seek-care panels. Synthetic data provides known labels and a balanced design, and avoids handling patient records. Aliases and units are sampled at random to exercise Layer 1; values are rounded as laboratories print them, and panels whose rounded values leave the intended class are regenerated. The generator is seeded, so the benchmark regenerates exactly; it is supplied with the analyte table, reference intervals, unit conversions, aliases and severity factors in the supplementary archive, and Appendix A reports the full distributions.</w:t>
      </w:r>
    </w:p>
    <w:p w14:paraId="41148692" w14:textId="77777777" w:rsidR="00527631" w:rsidRDefault="00407B88">
      <w:r>
        <w:t>Seven configurations are compared on the same panels. Baseline gives raw values and intervals to the model with no labels, constraints, or validation, approximating a patient pasting a report into a chatbot. Template only uses Layers 1 and 2 and prints the fixed template directly, with no language model at all; it is the deterministic floor against which any model-based configuration has to justify itself. Constrained uses Layers 1–3 without validation. Full uses all four layers, and Full without retry is Full with regeneration disabled, so a first failure falls straight back to the template.</w:t>
      </w:r>
    </w:p>
    <w:p w14:paraId="4C40915E" w14:textId="7B0A6B3C" w:rsidR="00527631" w:rsidRDefault="00407B88">
      <w:pPr>
        <w:pStyle w:val="p1a"/>
      </w:pPr>
      <w:r>
        <w:t>The constrained configuration bundles three mechanisms: rule-assigned labels, the content prohibitions, and the fixed JSON schema. To separate them, three further configurations were run on the same panels and model. Labels only supplies the labels and the schema; Constraints only keeps the prohibitions and the schema but gives raw values; Validator only uses the baseline prompt and adds Layer 4. Template only and Full without retry answer what the model is worth against the rules alone, and what regeneration is worth against a single attempt. Two further runs address size and stability: baseline and Full were repeated with Qwen2.5-7B, and the constrained configuration was run five times to separate decoding variability from the differences between configurations.</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The validator-pass rate is the proportion of panels whose final output passes the implemented Layer 4 checks, including fallback templates; model-generated pass counts only panels passed by model text. The name is deliberate: the validator is both the filter and the measure, so a high rate shows only that nothing returned violates the implemented checks. Error metrics count panels with at least one instance of each of the six classes; formatting errors are reported separately. Runtime was measured on an Intel Core i5-9400F with 24 GB of memory and an NVIDIA GTX 1050 Ti with 4 GB: Qwen2.5-3B at Q4_K_M occupies about 3 GB and is offloaded to the card in full, whereas 7B does not fit and runs roughly half on the card and half on the processor. Generation used Ollama at temperature 0.2, a 2,048-token limit, JSON output mode, and no fixed seed. Proportions carry 95% Wilson confidence intervals, and configurations are compared with the McNemar test, since every configuration sees the same panels.</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 Comparison of the three main configurations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Validator pass</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Unconstrained generation failed on content. Baseline passed the validator on no panel, misstated at least one direction in 91.3% of panels (95% CI 85.7–94.9) and asserted that all results were normal on 32.0% (25.1–39.8), roughly one patient in three. Pre-assigned labels and prompt constraints produced the largest drop, reducing direction mismatch to 12.7% (8.3–18.9), forbidden terms to 15.3% (10.4–22.0), contradictory wording to 5.3%, and false reassurance to 8.0% (4.6–13.5), a significant change in pass rate (McNemar, p &lt; 0.001). Nevertheless, 52.0% of constrained outputs still failed validation.</w:t>
      </w:r>
    </w:p>
    <w:p w14:paraId="081C55F5" w14:textId="77777777" w:rsidR="00527631" w:rsidRDefault="00407B88">
      <w:r>
        <w:t>Full passed the validator on all 150 panels (95% CI 97.5–100.0). The figure needs qualification twice over. First, 64.0% of panels (56.1–71.2) were served by model text and 36.0% by fixed templates after regeneration failed, so the rate is a property of the pipeline and not evidence that a 3B model writes reliably; regeneration raised the model-written share from 46.0% (38.2–54.0) without retry to 64.0% with it, at roughly double the latency. Second, a configuration with no model at all reaches the same rate, which is taken up below.</w:t>
      </w:r>
    </w:p>
    <w:p w14:paraId="421A5C7D" w14:textId="77777777" w:rsidR="00527631" w:rsidRDefault="00407B88">
      <w:r>
        <w:t>In baseline, 97.3% of outputs used display names instead of canonical codes and 2.0% were unparseable; both fell to zero under the schema constraint. Full required 1.97 generation attempts on average and 68.3 s per panel (SD 33.7; p50 66.4, p95 121.5, p99 134.1), about twice the baseline latency of 38.9 s (p95 63.6). Re-scoring the outputs that Layer 4 rejected shows what regeneration was called on to fix: of the 54 panels that ended in a template, 66.7% had omitted an analyte, 38.9% contained a forbidden term, 29.6% misstated a direction and 18.5% falsely reassured.</w:t>
      </w:r>
    </w:p>
    <w:p w14:paraId="4C40915E" w14:textId="7B0A6B3C" w:rsidR="00527631" w:rsidRDefault="00407B88">
      <w:pPr>
        <w:pStyle w:val="p1a"/>
      </w:pPr>
      <w:r>
        <w:t>One detail deserves scrutiny: 97.3% of baseline outputs identified analytes by display name instead of the canonical code, so part of the 0.0% pass rate could be formatting rather than content. Re-scoring every baseline output after mapping each name back through the alias table, which removes code-format errors entirely, raises the pass rate from 0.0% to 0.7%, one panel in 150. Direction mismatch rises from 91.3% to 92.7%, because items previously counted as fabricated now resolve to a real analyte and are judged on their stated direction; false reassurance (32.0%) and contradictory wording (56.0%) are unchanged. The baseline fails on content, not on formatting.</w:t>
      </w:r>
    </w:p>
    <w:p w14:paraId="4C40915E" w14:textId="7B0A6B3C" w:rsidR="00527631" w:rsidRDefault="00407B88">
      <w:pPr>
        <w:pStyle w:val="p1a"/>
      </w:pPr>
      <w:r>
        <w:t>Section 3.1 treats unit heterogeneity as a safety problem rather than a data-reuse problem, and the claim can be quantified on the same panels. Of 2,118 analyte readings, 143 (6.8%) were reported in a unit of different magnitude from the canonical one. Had the pipeline compared those readings against the reference interval without conversion, 135 of them (94.4%) would have received the wrong label, affecting 97 of 150 panels (64.7%). All 135 errors were false alarms at the most severe level; a normal haemoglobin of 14.56 g/dL, for example, is classified as seek care against a 130–175 g/L interval. None ran in the safer direction. The failure is confined to the deterministic layer and is invisible to Layer 4, because every later stage faithfully reproduces the label.</w:t>
      </w:r>
    </w:p>
    <w:p w14:paraId="4C40915E" w14:textId="7B0A6B3C" w:rsidR="00527631" w:rsidRDefault="00407B88">
      <w:pPr>
        <w:pStyle w:val="p1a"/>
      </w:pPr>
      <w:r>
        <w:t>Table 3 separates the mechanisms. Labels carry the correctness improvement: alone they cut direction mismatch from 91.3% to 14.0% (9.3–20.5) and yield a 38.7% pass rate (31.2–46.7) where the baseline yields none. Prompt constraints alone do not: direction mismatch stays at 87.3% and false reassurance rises to 43.3% (35.7–51.3), above the baseline, while their one measurable effect is on vocabulary, with forbidden terms falling from 79.3% to 35.3%. Instructing the model to be careful makes it speak more cautiously, not more correctly. Adding the prohibitions on top of the labels raises the pass rate to 48.0%, a difference that does not reach significance on 150 panels (McNemar, p = 0.082). The validator alone reaches 100.0% with 0.0% of panels served by model text: without labels to check against, Layer 4 can enforce the checks only by discarding the explanation.</w:t>
      </w:r>
    </w:p>
    <w:p w14:paraId="3DAFBF2B" w14:textId="77777777" w:rsidR="00527631" w:rsidRDefault="00407B88">
      <w:pPr>
        <w:pStyle w:val="tablecaption"/>
      </w:pPr>
      <w:r>
        <w:rPr>
          <w:b/>
        </w:rPr>
        <w:t>Table 3. Contribution of each mechanism, 150 synthetic panels, values as % of panels except the last column. Template only uses no language model.</w:t>
      </w:r>
    </w:p>
    <w:tbl>
      <w:tblPr>
        <w:tblStyle w:val="TableGrid"/>
        <w:tblW w:type="auto" w:w="0"/>
        <w:tblLook w:firstColumn="1" w:firstRow="1" w:lastColumn="0" w:lastRow="0" w:noHBand="0" w:noVBand="1" w:val="04A0"/>
      </w:tblPr>
      <w:tblGrid>
        <w:gridCol w:w="988"/>
        <w:gridCol w:w="988"/>
        <w:gridCol w:w="988"/>
        <w:gridCol w:w="988"/>
        <w:gridCol w:w="988"/>
        <w:gridCol w:w="988"/>
        <w:gridCol w:w="988"/>
      </w:tblGrid>
      <w:tr>
        <w:tc>
          <w:tcPr>
            <w:tcW w:type="dxa" w:w="988"/>
          </w:tcPr>
          <w:p>
            <w:pPr>
              <w:pStyle w:val="Noidungbang"/>
            </w:pPr>
            <w:r>
              <w:rPr>
                <w:b/>
                <w:sz w:val="16"/>
              </w:rPr>
              <w:t>Configuration</w:t>
            </w:r>
          </w:p>
        </w:tc>
        <w:tc>
          <w:tcPr>
            <w:tcW w:type="dxa" w:w="988"/>
          </w:tcPr>
          <w:p>
            <w:pPr>
              <w:pStyle w:val="Noidungbang"/>
              <w:jc w:val="right"/>
            </w:pPr>
            <w:r>
              <w:rPr>
                <w:b/>
                <w:sz w:val="16"/>
              </w:rPr>
              <w:t>Validator pass</w:t>
            </w:r>
          </w:p>
        </w:tc>
        <w:tc>
          <w:tcPr>
            <w:tcW w:type="dxa" w:w="988"/>
          </w:tcPr>
          <w:p>
            <w:pPr>
              <w:pStyle w:val="Noidungbang"/>
              <w:jc w:val="right"/>
            </w:pPr>
            <w:r>
              <w:rPr>
                <w:b/>
                <w:sz w:val="16"/>
              </w:rPr>
              <w:t>Model text</w:t>
            </w:r>
          </w:p>
        </w:tc>
        <w:tc>
          <w:tcPr>
            <w:tcW w:type="dxa" w:w="988"/>
          </w:tcPr>
          <w:p>
            <w:pPr>
              <w:pStyle w:val="Noidungbang"/>
              <w:jc w:val="right"/>
            </w:pPr>
            <w:r>
              <w:rPr>
                <w:b/>
                <w:sz w:val="16"/>
              </w:rPr>
              <w:t>Direction</w:t>
            </w:r>
          </w:p>
        </w:tc>
        <w:tc>
          <w:tcPr>
            <w:tcW w:type="dxa" w:w="988"/>
          </w:tcPr>
          <w:p>
            <w:pPr>
              <w:pStyle w:val="Noidungbang"/>
              <w:jc w:val="right"/>
            </w:pPr>
            <w:r>
              <w:rPr>
                <w:b/>
                <w:sz w:val="16"/>
              </w:rPr>
              <w:t>False reass.</w:t>
            </w:r>
          </w:p>
        </w:tc>
        <w:tc>
          <w:tcPr>
            <w:tcW w:type="dxa" w:w="988"/>
          </w:tcPr>
          <w:p>
            <w:pPr>
              <w:pStyle w:val="Noidungbang"/>
              <w:jc w:val="right"/>
            </w:pPr>
            <w:r>
              <w:rPr>
                <w:b/>
                <w:sz w:val="16"/>
              </w:rPr>
              <w:t>Forbidden</w:t>
            </w:r>
          </w:p>
        </w:tc>
        <w:tc>
          <w:tcPr>
            <w:tcW w:type="dxa" w:w="988"/>
          </w:tcPr>
          <w:p>
            <w:pPr>
              <w:pStyle w:val="Noidungbang"/>
              <w:jc w:val="right"/>
            </w:pPr>
            <w:r>
              <w:rPr>
                <w:b/>
                <w:sz w:val="16"/>
              </w:rPr>
              <w:t>Time (s)</w:t>
            </w:r>
          </w:p>
        </w:tc>
      </w:tr>
      <w:tr>
        <w:tc>
          <w:tcPr>
            <w:tcW w:type="dxa" w:w="988"/>
          </w:tcPr>
          <w:p>
            <w:pPr>
              <w:pStyle w:val="Noidungbang"/>
            </w:pPr>
            <w:r>
              <w:rPr>
                <w:b w:val="0"/>
                <w:sz w:val="16"/>
              </w:rPr>
              <w:t>Baseline</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91.3</w:t>
            </w:r>
          </w:p>
        </w:tc>
        <w:tc>
          <w:tcPr>
            <w:tcW w:type="dxa" w:w="988"/>
          </w:tcPr>
          <w:p>
            <w:pPr>
              <w:pStyle w:val="Noidungbang"/>
              <w:jc w:val="right"/>
            </w:pPr>
            <w:r>
              <w:rPr>
                <w:b w:val="0"/>
                <w:sz w:val="16"/>
              </w:rPr>
              <w:t>32.0</w:t>
            </w:r>
          </w:p>
        </w:tc>
        <w:tc>
          <w:tcPr>
            <w:tcW w:type="dxa" w:w="988"/>
          </w:tcPr>
          <w:p>
            <w:pPr>
              <w:pStyle w:val="Noidungbang"/>
              <w:jc w:val="right"/>
            </w:pPr>
            <w:r>
              <w:rPr>
                <w:b w:val="0"/>
                <w:sz w:val="16"/>
              </w:rPr>
              <w:t>79.3</w:t>
            </w:r>
          </w:p>
        </w:tc>
        <w:tc>
          <w:tcPr>
            <w:tcW w:type="dxa" w:w="988"/>
          </w:tcPr>
          <w:p>
            <w:pPr>
              <w:pStyle w:val="Noidungbang"/>
              <w:jc w:val="right"/>
            </w:pPr>
            <w:r>
              <w:rPr>
                <w:b w:val="0"/>
                <w:sz w:val="16"/>
              </w:rPr>
              <w:t>38.9</w:t>
            </w:r>
          </w:p>
        </w:tc>
      </w:tr>
      <w:tr>
        <w:tc>
          <w:tcPr>
            <w:tcW w:type="dxa" w:w="988"/>
          </w:tcPr>
          <w:p>
            <w:pPr>
              <w:pStyle w:val="Noidungbang"/>
            </w:pPr>
            <w:r>
              <w:rPr>
                <w:b w:val="0"/>
                <w:sz w:val="16"/>
              </w:rPr>
              <w:t>Template only</w:t>
            </w:r>
          </w:p>
        </w:tc>
        <w:tc>
          <w:tcPr>
            <w:tcW w:type="dxa" w:w="988"/>
          </w:tcPr>
          <w:p>
            <w:pPr>
              <w:pStyle w:val="Noidungbang"/>
              <w:jc w:val="right"/>
            </w:pPr>
            <w:r>
              <w:rPr>
                <w:b w:val="0"/>
                <w:sz w:val="16"/>
              </w:rPr>
              <w:t>100.0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0.003</w:t>
            </w:r>
          </w:p>
        </w:tc>
      </w:tr>
      <w:tr>
        <w:tc>
          <w:tcPr>
            <w:tcW w:type="dxa" w:w="988"/>
          </w:tcPr>
          <w:p>
            <w:pPr>
              <w:pStyle w:val="Noidungbang"/>
            </w:pPr>
            <w:r>
              <w:rPr>
                <w:b w:val="0"/>
                <w:sz w:val="16"/>
              </w:rPr>
              <w:t>Labels only</w:t>
            </w:r>
          </w:p>
        </w:tc>
        <w:tc>
          <w:tcPr>
            <w:tcW w:type="dxa" w:w="988"/>
          </w:tcPr>
          <w:p>
            <w:pPr>
              <w:pStyle w:val="Noidungbang"/>
              <w:jc w:val="right"/>
            </w:pPr>
            <w:r>
              <w:rPr>
                <w:b w:val="0"/>
                <w:sz w:val="16"/>
              </w:rPr>
              <w:t>38.7</w:t>
            </w:r>
          </w:p>
        </w:tc>
        <w:tc>
          <w:tcPr>
            <w:tcW w:type="dxa" w:w="988"/>
          </w:tcPr>
          <w:p>
            <w:pPr>
              <w:pStyle w:val="Noidungbang"/>
              <w:jc w:val="right"/>
            </w:pPr>
            <w:r>
              <w:rPr>
                <w:b w:val="0"/>
                <w:sz w:val="16"/>
              </w:rPr>
              <w:t>38.7</w:t>
            </w:r>
          </w:p>
        </w:tc>
        <w:tc>
          <w:tcPr>
            <w:tcW w:type="dxa" w:w="988"/>
          </w:tcPr>
          <w:p>
            <w:pPr>
              <w:pStyle w:val="Noidungbang"/>
              <w:jc w:val="right"/>
            </w:pPr>
            <w:r>
              <w:rPr>
                <w:b w:val="0"/>
                <w:sz w:val="16"/>
              </w:rPr>
              <w:t>14.0</w:t>
            </w:r>
          </w:p>
        </w:tc>
        <w:tc>
          <w:tcPr>
            <w:tcW w:type="dxa" w:w="988"/>
          </w:tcPr>
          <w:p>
            <w:pPr>
              <w:pStyle w:val="Noidungbang"/>
              <w:jc w:val="right"/>
            </w:pPr>
            <w:r>
              <w:rPr>
                <w:b w:val="0"/>
                <w:sz w:val="16"/>
              </w:rPr>
              <w:t>10.7</w:t>
            </w:r>
          </w:p>
        </w:tc>
        <w:tc>
          <w:tcPr>
            <w:tcW w:type="dxa" w:w="988"/>
          </w:tcPr>
          <w:p>
            <w:pPr>
              <w:pStyle w:val="Noidungbang"/>
              <w:jc w:val="right"/>
            </w:pPr>
            <w:r>
              <w:rPr>
                <w:b w:val="0"/>
                <w:sz w:val="16"/>
              </w:rPr>
              <w:t>46.0</w:t>
            </w:r>
          </w:p>
        </w:tc>
        <w:tc>
          <w:tcPr>
            <w:tcW w:type="dxa" w:w="988"/>
          </w:tcPr>
          <w:p>
            <w:pPr>
              <w:pStyle w:val="Noidungbang"/>
              <w:jc w:val="right"/>
            </w:pPr>
            <w:r>
              <w:rPr>
                <w:b w:val="0"/>
                <w:sz w:val="16"/>
              </w:rPr>
              <w:t>38.4</w:t>
            </w:r>
          </w:p>
        </w:tc>
      </w:tr>
      <w:tr>
        <w:tc>
          <w:tcPr>
            <w:tcW w:type="dxa" w:w="988"/>
          </w:tcPr>
          <w:p>
            <w:pPr>
              <w:pStyle w:val="Noidungbang"/>
            </w:pPr>
            <w:r>
              <w:rPr>
                <w:b w:val="0"/>
                <w:sz w:val="16"/>
              </w:rPr>
              <w:t>Constraints only</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87.3</w:t>
            </w:r>
          </w:p>
        </w:tc>
        <w:tc>
          <w:tcPr>
            <w:tcW w:type="dxa" w:w="988"/>
          </w:tcPr>
          <w:p>
            <w:pPr>
              <w:pStyle w:val="Noidungbang"/>
              <w:jc w:val="right"/>
            </w:pPr>
            <w:r>
              <w:rPr>
                <w:b w:val="0"/>
                <w:sz w:val="16"/>
              </w:rPr>
              <w:t>43.3</w:t>
            </w:r>
          </w:p>
        </w:tc>
        <w:tc>
          <w:tcPr>
            <w:tcW w:type="dxa" w:w="988"/>
          </w:tcPr>
          <w:p>
            <w:pPr>
              <w:pStyle w:val="Noidungbang"/>
              <w:jc w:val="right"/>
            </w:pPr>
            <w:r>
              <w:rPr>
                <w:b w:val="0"/>
                <w:sz w:val="16"/>
              </w:rPr>
              <w:t>35.3</w:t>
            </w:r>
          </w:p>
        </w:tc>
        <w:tc>
          <w:tcPr>
            <w:tcW w:type="dxa" w:w="988"/>
          </w:tcPr>
          <w:p>
            <w:pPr>
              <w:pStyle w:val="Noidungbang"/>
              <w:jc w:val="right"/>
            </w:pPr>
            <w:r>
              <w:rPr>
                <w:b w:val="0"/>
                <w:sz w:val="16"/>
              </w:rPr>
              <w:t>27.0</w:t>
            </w:r>
          </w:p>
        </w:tc>
      </w:tr>
      <w:tr>
        <w:tc>
          <w:tcPr>
            <w:tcW w:type="dxa" w:w="988"/>
          </w:tcPr>
          <w:p>
            <w:pPr>
              <w:pStyle w:val="Noidungbang"/>
            </w:pPr>
            <w:r>
              <w:rPr>
                <w:b w:val="0"/>
                <w:sz w:val="16"/>
              </w:rPr>
              <w:t>Validator only</w:t>
            </w:r>
          </w:p>
        </w:tc>
        <w:tc>
          <w:tcPr>
            <w:tcW w:type="dxa" w:w="988"/>
          </w:tcPr>
          <w:p>
            <w:pPr>
              <w:pStyle w:val="Noidungbang"/>
              <w:jc w:val="right"/>
            </w:pPr>
            <w:r>
              <w:rPr>
                <w:b w:val="0"/>
                <w:sz w:val="16"/>
              </w:rPr>
              <w:t>100.0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95.5</w:t>
            </w:r>
          </w:p>
        </w:tc>
      </w:tr>
      <w:tr>
        <w:tc>
          <w:tcPr>
            <w:tcW w:type="dxa" w:w="988"/>
          </w:tcPr>
          <w:p>
            <w:pPr>
              <w:pStyle w:val="Noidungbang"/>
            </w:pPr>
            <w:r>
              <w:rPr>
                <w:b w:val="0"/>
                <w:sz w:val="16"/>
              </w:rPr>
              <w:t>Constrained</w:t>
            </w:r>
          </w:p>
        </w:tc>
        <w:tc>
          <w:tcPr>
            <w:tcW w:type="dxa" w:w="988"/>
          </w:tcPr>
          <w:p>
            <w:pPr>
              <w:pStyle w:val="Noidungbang"/>
              <w:jc w:val="right"/>
            </w:pPr>
            <w:r>
              <w:rPr>
                <w:b w:val="0"/>
                <w:sz w:val="16"/>
              </w:rPr>
              <w:t>48.0</w:t>
            </w:r>
          </w:p>
        </w:tc>
        <w:tc>
          <w:tcPr>
            <w:tcW w:type="dxa" w:w="988"/>
          </w:tcPr>
          <w:p>
            <w:pPr>
              <w:pStyle w:val="Noidungbang"/>
              <w:jc w:val="right"/>
            </w:pPr>
            <w:r>
              <w:rPr>
                <w:b w:val="0"/>
                <w:sz w:val="16"/>
              </w:rPr>
              <w:t>48.0</w:t>
            </w:r>
          </w:p>
        </w:tc>
        <w:tc>
          <w:tcPr>
            <w:tcW w:type="dxa" w:w="988"/>
          </w:tcPr>
          <w:p>
            <w:pPr>
              <w:pStyle w:val="Noidungbang"/>
              <w:jc w:val="right"/>
            </w:pPr>
            <w:r>
              <w:rPr>
                <w:b w:val="0"/>
                <w:sz w:val="16"/>
              </w:rPr>
              <w:t>12.7</w:t>
            </w:r>
          </w:p>
        </w:tc>
        <w:tc>
          <w:tcPr>
            <w:tcW w:type="dxa" w:w="988"/>
          </w:tcPr>
          <w:p>
            <w:pPr>
              <w:pStyle w:val="Noidungbang"/>
              <w:jc w:val="right"/>
            </w:pPr>
            <w:r>
              <w:rPr>
                <w:b w:val="0"/>
                <w:sz w:val="16"/>
              </w:rPr>
              <w:t>8.0</w:t>
            </w:r>
          </w:p>
        </w:tc>
        <w:tc>
          <w:tcPr>
            <w:tcW w:type="dxa" w:w="988"/>
          </w:tcPr>
          <w:p>
            <w:pPr>
              <w:pStyle w:val="Noidungbang"/>
              <w:jc w:val="right"/>
            </w:pPr>
            <w:r>
              <w:rPr>
                <w:b w:val="0"/>
                <w:sz w:val="16"/>
              </w:rPr>
              <w:t>15.3</w:t>
            </w:r>
          </w:p>
        </w:tc>
        <w:tc>
          <w:tcPr>
            <w:tcW w:type="dxa" w:w="988"/>
          </w:tcPr>
          <w:p>
            <w:pPr>
              <w:pStyle w:val="Noidungbang"/>
              <w:jc w:val="right"/>
            </w:pPr>
            <w:r>
              <w:rPr>
                <w:b w:val="0"/>
                <w:sz w:val="16"/>
              </w:rPr>
              <w:t>35.8</w:t>
            </w:r>
          </w:p>
        </w:tc>
      </w:tr>
      <w:tr>
        <w:tc>
          <w:tcPr>
            <w:tcW w:type="dxa" w:w="988"/>
          </w:tcPr>
          <w:p>
            <w:pPr>
              <w:pStyle w:val="Noidungbang"/>
            </w:pPr>
            <w:r>
              <w:rPr>
                <w:b w:val="0"/>
                <w:sz w:val="16"/>
              </w:rPr>
              <w:t>Full, no retry</w:t>
            </w:r>
          </w:p>
        </w:tc>
        <w:tc>
          <w:tcPr>
            <w:tcW w:type="dxa" w:w="988"/>
          </w:tcPr>
          <w:p>
            <w:pPr>
              <w:pStyle w:val="Noidungbang"/>
              <w:jc w:val="right"/>
            </w:pPr>
            <w:r>
              <w:rPr>
                <w:b w:val="0"/>
                <w:sz w:val="16"/>
              </w:rPr>
              <w:t>100.0</w:t>
            </w:r>
          </w:p>
        </w:tc>
        <w:tc>
          <w:tcPr>
            <w:tcW w:type="dxa" w:w="988"/>
          </w:tcPr>
          <w:p>
            <w:pPr>
              <w:pStyle w:val="Noidungbang"/>
              <w:jc w:val="right"/>
            </w:pPr>
            <w:r>
              <w:rPr>
                <w:b w:val="0"/>
                <w:sz w:val="16"/>
              </w:rPr>
              <w:t>46.0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35.2</w:t>
            </w:r>
          </w:p>
        </w:tc>
      </w:tr>
      <w:tr>
        <w:tc>
          <w:tcPr>
            <w:tcW w:type="dxa" w:w="988"/>
          </w:tcPr>
          <w:p>
            <w:pPr>
              <w:pStyle w:val="Noidungbang"/>
            </w:pPr>
            <w:r>
              <w:rPr>
                <w:b w:val="0"/>
                <w:sz w:val="16"/>
              </w:rPr>
              <w:t>Full</w:t>
            </w:r>
          </w:p>
        </w:tc>
        <w:tc>
          <w:tcPr>
            <w:tcW w:type="dxa" w:w="988"/>
          </w:tcPr>
          <w:p>
            <w:pPr>
              <w:pStyle w:val="Noidungbang"/>
              <w:jc w:val="right"/>
            </w:pPr>
            <w:r>
              <w:rPr>
                <w:b w:val="0"/>
                <w:sz w:val="16"/>
              </w:rPr>
              <w:t>100.0</w:t>
            </w:r>
          </w:p>
        </w:tc>
        <w:tc>
          <w:tcPr>
            <w:tcW w:type="dxa" w:w="988"/>
          </w:tcPr>
          <w:p>
            <w:pPr>
              <w:pStyle w:val="Noidungbang"/>
              <w:jc w:val="right"/>
            </w:pPr>
            <w:r>
              <w:rPr>
                <w:b w:val="0"/>
                <w:sz w:val="16"/>
              </w:rPr>
              <w:t>64.0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68.3</w:t>
            </w:r>
          </w:p>
        </w:tc>
      </w:tr>
    </w:tbl>
    <w:p>
      <w:pPr>
        <w:pStyle w:val="p1a"/>
      </w:pPr>
      <w:r>
        <w:t>One comparison bounds what the language model contributes. The template-only configuration, which prints the Layer 2 labels directly and never calls a model, passes the validator on all 150 panels in 0.38 s for the whole benchmark, against 68.3 s per panel for the full pipeline. The McNemar test on the paired panels cannot distinguish the two (p = 1.000), and the same holds for validator-only. This is not a defect of the implementation but of the measure: a pass rate defined by consistency with the rules is maximised by output that the rules wrote. What the full pipeline adds is the 64.0% of panels that keep generated prose rather than a fixed sentence, and whether that prose is easier for a patient to read is the question this evaluation does not answer.</w:t>
      </w:r>
    </w:p>
    <w:p>
      <w:pPr>
        <w:pStyle w:val="p1a"/>
      </w:pPr>
      <w:r>
        <w:t>The error classes are easier to judge from instances than from rates. In panel SYN-0087, labelled monitor, the baseline closing statement read “Tất cả các chỉ số đều nằm trong khoảng bình thường” (all indices are within the normal range) and then named two abnormal ones, which is why the closing statement is checked apart from the per-analyte fields. In panel SYN-0149 the same configuration wrote that a haematocrit of 56.3% lay within a normal range of 40–50%, omitted red blood cells, and wrote “dấu hiệu của” (a sign of) about basophils, which the forbidden-term list blocks as diagnostic phrasing. Appendix C lists one worked example per class with the validator decision and the replacement output.</w:t>
      </w:r>
    </w:p>
    <w:p>
      <w:pPr>
        <w:pStyle w:val="p1a"/>
      </w:pPr>
      <w:r>
        <w:t>Model size changes what the pipeline costs, not how safe it is. Qwen2.5-7B was run on the same panels and scored by the same code. Under unconstrained generation it still passes on no panel, and on the error that matters most it is worse: false reassurance rises from 32.0% to 46.7% (95% CI 38.9–54.6) and fabricated analytes from 32.0% to 41.3%, while direction mismatch falls from 91.3% to 76.0% and omissions from 71.3% to 57.3%. The larger model writes more fluently and asserts normality more often. Inside the full pipeline the comparison reverses: both models pass on all 150 panels, but 7B is served by model text on 96.0% of panels (91.5–98.2) against 64.0%, needing 1.16 attempts against 1.97. A model more than twice the size buys a smaller fallback share, not a safer one, at 161.5 s per panel against 68.3 s.</w:t>
      </w:r>
    </w:p>
    <w:p>
      <w:pPr>
        <w:pStyle w:val="p1a"/>
      </w:pPr>
      <w:r>
        <w:t>Because decoding is not deterministic, the constrained configuration was run five times on the same panels. The pass rate averages 50.3% with a standard deviation of 2.4 points (range 48.0–53.3), so the single run in Table 2 sits at the low end of ordinary variation, and no per-class rate moves by more than about three points. The panel level is far less stable: across the five runs only 31 of 150 panels pass every time and 37 fail every time, while 82 (54.7%) pass in some runs and fail in others. Aggregate rates are reproducible to within a few points, but an individual explanation is not reproducible at all, which argues for checking every output rather than trusting a configuration that scored well once.</w:t>
      </w:r>
    </w:p>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can then improve independently; replacing heuristic thresholds with a laboratory’s critical-value list changes only the labels, and a larger model would raise the model-written share without changing what Layer 4 enforces.</w:t>
      </w:r>
    </w:p>
    <w:p w14:paraId="41A963E1" w14:textId="77777777" w:rsidR="00527631" w:rsidRDefault="00407B88">
      <w:r>
        <w:t xml:space="preserve">False reassurance deserves separate reporting. It may </w:t>
      </w:r>
      <w:r>
        <w:t>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 is a safety problem, not only a data-reuse problem. The g/dL-versus-g/L failure occurred in the deterministic layer with complete internal consistency, and no downstream check could detect it; standards such as LOINC and HL7 FHIR are therefore preconditions for rule-based clinical logic in Vietnamese laboratory reporting. A runtime of 68.3 s per panel, with a 95th percentile of 121.5 s, is acceptable for a once-per-report task on a consumer graphics card released in 2016, which is the relevant hardware bar for a provincial hospital rather than datacentre equipment; for the 36.0% fallback panels, output is no better than the report, although it never conflicts with the assigned labels.</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validator is both the filter and the measure, so its pass rate is not independent evidence of safety: a deterministic template reaches the same rate, and an output can satisfy every check and still mislead through indirect phrasing. Its errors run both ways: the contradictory-wording check reads a sentence quoting the reference interval without a comparator as a status claim, affecting an estimated quarter of the sentences it rejects. We left that unchanged rather than retune the validator after seeing the results; it inflates the fallback rate and understates the model. The severity factors are heuristic, and panels are synthetic, lacking the noise, missing fields and format variation of real reports.</w:t>
      </w:r>
    </w:p>
    <w:p w14:paraId="6D66C8E2" w14:textId="77777777" w:rsidR="00527631" w:rsidRDefault="00407B88">
      <w:r>
        <w:t>Only structured complete blood count panels are supported; one-sided intervals and qualitative results are not handled. Only the constrained configuration was repeated, so the intervals for the other configurations carry the sampling uncertainty of 150 panels but not decoding variability. Sex- and age-specific intervals are not handled either, which matters most for haemoglobin, haematocrit and red cell count: a woman’s result may be labelled abnormal against a male-derived interval. Independent expert review, a patient comprehension study, validated critical-value thresholds, broader test panels, and evaluation on real reports from multiple laboratories remain future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 to 8.0% with prompt constraints and to zero under the implemented checks, with 64.0% of panels served by model text and 36.0% by templates. A deterministic template reaches the same pass rate with no model, and a model more than twice the size raises unconstrained false reassurance rather than lowering it, so the result should be read as rule consistency under the implemented checks and not as clinical safety. The contribution is an auditable architecture and a separately reported false-reassurance metric; independent expert review and a patient comprehension study are required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the 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numPr>
          <w:ilvl w:val="0"/>
          <w:numId w:val="15"/>
        </w:numPr>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numPr>
          <w:ilvl w:val="0"/>
          <w:numId w:val="15"/>
        </w:numPr>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numPr>
          <w:ilvl w:val="0"/>
          <w:numId w:val="15"/>
        </w:numPr>
      </w:pPr>
      <w:r>
        <w:t xml:space="preserve">de la Torre, J.: Scalable unit harmonization in medical informatics via Bayesian-optimized retrieval and transformer-based re-ranking. International Journal of Medical Informatics 206, 106180 (2026). </w:t>
      </w:r>
      <w:r>
        <w:t>https://doi.org/10.1016/j.ijmedinf.2025.106180</w:t>
      </w:r>
    </w:p>
    <w:p w14:paraId="3313D8AA" w14:textId="77777777" w:rsidR="00527631" w:rsidRDefault="00407B88" w:rsidP="00382AF2">
      <w:pPr>
        <w:pStyle w:val="referenceitem"/>
        <w:numPr>
          <w:ilvl w:val="0"/>
          <w:numId w:val="15"/>
        </w:numPr>
      </w:pPr>
      <w:r>
        <w:t>Rebedea, T., Dinu, R., Sreedhar, M.N., Parisien, C., Cohen, J.: NeMo Guardrails: a toolkit for controllable and safe LLM applications with programmable rails. In: Proceedings of the 2023 Conference on Empirical Methods in Natural Language Processing: System Demonstrations, pp. 431–445 (2023)</w:t>
      </w:r>
    </w:p>
    <w:p w14:paraId="3313D8AA" w14:textId="77777777" w:rsidR="00527631" w:rsidRDefault="00407B88" w:rsidP="00382AF2">
      <w:pPr>
        <w:pStyle w:val="referenceitem"/>
        <w:numPr>
          <w:ilvl w:val="0"/>
          <w:numId w:val="15"/>
        </w:numPr>
      </w:pPr>
      <w:r>
        <w:t>Gatt, A., Krahmer, E.: Survey of the state of the art in natural language generation: core tasks, applications and evaluation. Journal of Artificial Intelligence Research 61, 65–170 (2018)</w:t>
      </w:r>
    </w:p>
    <w:p w14:paraId="3313D8AA" w14:textId="77777777" w:rsidR="00527631" w:rsidRDefault="00407B88" w:rsidP="00382AF2">
      <w:pPr>
        <w:pStyle w:val="referenceitem"/>
        <w:numPr>
          <w:ilvl w:val="0"/>
          <w:numId w:val="15"/>
        </w:numPr>
      </w:pPr>
      <w:r>
        <w:t>Wiseman, S., Shieber, S.M., Rush, A.M.: Challenges in data-to-document generation. In: Proceedings of the 2017 Conference on Empirical Methods in Natural Language Processing, pp. 2253–2263 (2017)</w:t>
      </w:r>
    </w:p>
    <w:p w14:paraId="3313D8AA" w14:textId="77777777" w:rsidR="00527631" w:rsidRDefault="00407B88" w:rsidP="00382AF2">
      <w:pPr>
        <w:pStyle w:val="referenceitem"/>
        <w:numPr>
          <w:ilvl w:val="0"/>
          <w:numId w:val="15"/>
        </w:numPr>
      </w:pPr>
      <w:r>
        <w:t>Thomson, C., Reiter, E.: A gold standard methodology for evaluating accuracy in data-to-text systems. In: Proceedings of the 13th International Conference on Natural Language Generation, pp. 158–168 (2020)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