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Cộng hòa xã hội chủ nghĩa Việt Nam — tài liệu thử nghiệm</w:t>
      </w:r>
    </w:p>
    <w:p>
      <w:pPr>
        <w:pStyle w:val="Normal"/>
      </w:pPr>
      <w:r>
        <w:t>Đoạn kế thừa kiểu chữ và căn lề</w:t>
      </w:r>
    </w:p>
    <w:p>
      <w:pPr>
        <w:pStyle w:val="ListNumber"/>
      </w:pPr>
      <w:r>
        <w:t>Mục có thứ tự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Bảng tiếng Việt</w:t>
            </w:r>
          </w:p>
        </w:tc>
        <w:tc>
          <w:tcPr>
            <w:tcW w:type="dxa" w:w="4320"/>
          </w:tcPr>
          <w:p>
            <w:r>
              <w:t>Ô 2</w:t>
            </w:r>
          </w:p>
        </w:tc>
      </w:tr>
      <w:tr>
        <w:tc>
          <w:tcPr>
            <w:tcW w:type="dxa" w:w="8640"/>
            <w:gridSpan w:val="2"/>
          </w:tcPr>
          <w:p>
            <w:r>
              <w:t>Ô gộp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" cy="13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Phần hai — Unicode: ắ ằ ẵ ẳ ấ 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Chân trang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Tiêu đề phần hai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center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