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PHỤ LỤC I</w:t>
      </w:r>
    </w:p>
    <w:p>
      <w:r>
        <w:rPr>
          <w:b/>
        </w:rPr>
        <w:t xml:space="preserve">DANH MỤC HỒ SƠ</w:t>
      </w:r>
    </w:p>
    <w:p>
      <w:r>
        <w:t xml:space="preserve">(Kèm theo Quyết định số 88/QĐ-ABC ngày 18 tháng 9 năm 2026)</w:t>
      </w:r>
    </w:p>
    <w:tbl>
      <w:tblPr/>
      <w:tblGrid>
        <w:gridCol w:w="4500"/>
        <w:gridCol w:w="4500"/>
      </w:tblGrid>
      <w:tr>
        <w:tc>
          <w:tcPr/>
          <w:p>
            <w:r>
              <w:t xml:space="preserve">STT</w:t>
            </w:r>
          </w:p>
        </w:tc>
        <w:tc>
          <w:tcPr/>
          <w:p>
            <w:r>
              <w:t xml:space="preserve">Tên hồ sơ</w:t>
            </w:r>
          </w:p>
        </w:tc>
      </w:tr>
    </w:tbl>
    <w:p>
      <w:r>
        <w:t xml:space="preserve">Nội dung phụ lục.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