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Bộ quy tắc ứng xử</w:t>
      </w:r>
    </w:p>
    <w:p>
      <w:pPr>
        <w:pStyle w:val="Heading1"/>
      </w:pPr>
      <w:r>
        <w:t>Phạm vi áp dụng</w:t>
      </w:r>
    </w:p>
    <w:p>
      <w:r>
        <w:t>Bộ quy tắc áp dụng cho toàn bộ người lao động, thực tập sinh và cộng tác viên của Bamboo Harbor khi làm việc với đồng nghiệp, khách hàng, nhà cung cấp và cơ quan nhà nước.</w:t>
      </w:r>
    </w:p>
    <w:p>
      <w:pPr>
        <w:pStyle w:val="Heading1"/>
      </w:pPr>
      <w:r>
        <w:t>Quà tặng và chiêu đãi</w:t>
      </w:r>
    </w:p>
    <w:p>
      <w:r>
        <w:t>Người lao động chỉ được nhận quà tặng từ khách hàng hoặc nhà cung cấp có giá trị không quá 500.000 đồng mỗi lần và không quá hai lần trong một năm từ cùng một đối tác.</w:t>
      </w:r>
    </w:p>
    <w:p>
      <w:r>
        <w:t>Không được nhận tiền mặt, thẻ quà tặng hoặc phiếu mua hàng dưới bất kỳ hình thức nào. Quà tặng vượt mức phải được từ chối lịch sự hoặc nộp lại cho phòng Hành chính.</w:t>
      </w:r>
    </w:p>
    <w:p>
      <w:pPr>
        <w:pStyle w:val="Heading1"/>
      </w:pPr>
      <w:r>
        <w:t>Xung đột lợi ích</w:t>
      </w:r>
    </w:p>
    <w:p>
      <w:r>
        <w:t>Người lao động phải khai báo xung đột lợi ích trên hệ thống nhân sự trong vòng 5 ngày làm việc kể từ khi phát sinh, ví dụ khi người thân làm việc cho nhà cung cấp hoặc khi tham gia góp vốn vào doanh nghiệp cùng ngành.</w:t>
      </w:r>
    </w:p>
    <w:p>
      <w:r>
        <w:t>Người có xung đột lợi ích không được tham gia đánh giá, lựa chọn hoặc phê duyệt hợp đồng với bên liên quan.</w:t>
      </w:r>
    </w:p>
    <w:p>
      <w:pPr>
        <w:pStyle w:val="Heading1"/>
      </w:pPr>
      <w:r>
        <w:t>Bảo mật thông tin</w:t>
      </w:r>
    </w:p>
    <w:p>
      <w:r>
        <w:t>Người lao động bảo mật thông tin của công ty và khách hàng trong thời gian làm việc và sau khi nghỉ việc. Việc phân loại và xử lý thông tin tuân theo Chính sách phân loại dữ liệu.</w:t>
      </w:r>
    </w:p>
    <w:p>
      <w:pPr>
        <w:pStyle w:val="Heading1"/>
      </w:pPr>
      <w:r>
        <w:t>Báo cáo vi phạm</w:t>
      </w:r>
    </w:p>
    <w:p>
      <w:r>
        <w:t>Người lao động báo cáo hành vi vi phạm bộ quy tắc cho quản lý trực tiếp, phòng Nhân sự hoặc qua đường dây nóng đạo đức. Đường dây nóng do một đơn vị độc lập vận hành và cho phép báo cáo ẩn danh qua điện thoại hoặc biểu mẫu trực tuyến.</w:t>
      </w:r>
    </w:p>
    <w:p>
      <w:r>
        <w:t>Công ty không xử lý kỷ luật hay trả đũa người báo cáo trung thực, kể cả khi kết quả điều tra không xác nhận vi phạm.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quy tắc ứng xử</dc:title>
  <dc:subject/>
  <dc:creator>python-docx</dc:creator>
  <cp:keywords/>
  <dc:description>generated by python-docx</dc:description>
  <cp:lastModifiedBy/>
  <cp:revision>1</cp:revision>
  <dcterms:created xsi:type="dcterms:W3CDTF">2026-10-01T00:00:00Z</dcterms:created>
  <dcterms:modified xsi:type="dcterms:W3CDTF">2026-10-01T00:00:00Z</dcterms:modified>
  <cp:category/>
</cp:coreProperties>
</file>