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Chuyển đoạn văn bản sau thành 1 trang html: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Bài 2: tạo 1 trang login theo mẫu, yêu cầu khi bấm vào nút click me thì nó chuyển sang trang google.com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247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Bài 3: tạo 1 table theo mẫu  (gợi ý dùng thẻ table, tr,td)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2955"/>
        <w:gridCol w:w="3029"/>
        <w:tblGridChange w:id="0">
          <w:tblGrid>
            <w:gridCol w:w="3045"/>
            <w:gridCol w:w="295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Nod</w:t>
            </w:r>
            <w:r w:rsidDel="00000000" w:rsidR="00000000" w:rsidRPr="00000000">
              <w:rPr>
                <w:b w:val="1"/>
                <w:rtl w:val="0"/>
              </w:rPr>
              <w:t xml:space="preserve">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Thái Hà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Hà Nội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Bài 4: Tạo 1 trang html theo mẫu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2828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Bài 5: Tạo một trang theo mẫu (table)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