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EB6834"/>
          <w:sz w:val="20"/>
          <w:szCs w:val="20"/>
        </w:rPr>
        <w:t xml:space="preserve">COFFEE "C" FUTURES  |  TRADING PLAN</w:t>
      </w:r>
    </w:p>
    <w:p>
      <w:pPr>
        <w:spacing w:after="80"/>
      </w:pPr>
      <w:r>
        <w:rPr>
          <w:rFonts w:ascii="Arial" w:cs="Arial" w:eastAsia="Arial" w:hAnsi="Arial"/>
          <w:b/>
          <w:bCs/>
          <w:color w:val="1F3A5F"/>
          <w:sz w:val="40"/>
          <w:szCs w:val="40"/>
        </w:rPr>
        <w:t xml:space="preserve">Sell the December/March spread on the 2022 playbook</w:t>
      </w:r>
    </w:p>
    <w:p>
      <w:pPr>
        <w:spacing w:after="120"/>
      </w:pPr>
      <w:r>
        <w:rPr>
          <w:rFonts w:ascii="Arial" w:cs="Arial" w:eastAsia="Arial" w:hAnsi="Arial"/>
          <w:color w:val="52514E"/>
          <w:sz w:val="24"/>
          <w:szCs w:val="24"/>
        </w:rPr>
        <w:t xml:space="preserve">Short KCZ26 / long KCH27, closed before first notice day on 19 November 2026</w:t>
      </w:r>
    </w:p>
    <w:p>
      <w:pPr>
        <w:pBdr>
          <w:bottom w:val="single" w:color="1F3A5F" w:sz="8" w:space="6"/>
        </w:pBdr>
        <w:spacing w:after="240"/>
      </w:pPr>
      <w:r>
        <w:rPr>
          <w:rFonts w:ascii="Arial" w:cs="Arial" w:eastAsia="Arial" w:hAnsi="Arial"/>
          <w:color w:val="52514E"/>
          <w:sz w:val="18"/>
          <w:szCs w:val="18"/>
        </w:rPr>
        <w:t xml:space="preserve">Prepared 5 October 2026 · market data to 2 October 2026 settlement · </w:t>
      </w:r>
      <w:r>
        <w:rPr>
          <w:rFonts w:ascii="Arial" w:cs="Arial" w:eastAsia="Arial" w:hAnsi="Arial"/>
          <w:b/>
          <w:bCs/>
          <w:color w:val="B03A2E"/>
          <w:sz w:val="18"/>
          <w:szCs w:val="18"/>
        </w:rPr>
        <w:t xml:space="preserve">DRAFT – for Finance review before distribution</w:t>
      </w:r>
    </w:p>
    <w:p>
      <w:pPr>
        <w:pStyle w:val="Heading1"/>
        <w:keepNext/>
        <w:spacing w:after="140" w:before="280"/>
      </w:pPr>
      <w:r>
        <w:rPr>
          <w:rFonts w:ascii="Arial" w:cs="Arial" w:eastAsia="Arial" w:hAnsi="Arial"/>
          <w:b/>
          <w:bCs/>
          <w:color w:val="1F3A5F"/>
          <w:sz w:val="32"/>
          <w:szCs w:val="32"/>
        </w:rPr>
        <w:t xml:space="preserve">1. The plan in one page</w:t>
      </w:r>
    </w:p>
    <w:p>
      <w:pPr>
        <w:spacing w:after="120" w:before="0" w:line="300"/>
      </w:pPr>
      <w:r>
        <w:rPr>
          <w:rFonts w:ascii="Arial" w:cs="Arial" w:eastAsia="Arial" w:hAnsi="Arial"/>
          <w:sz w:val="21"/>
          <w:szCs w:val="21"/>
        </w:rPr>
        <w:t xml:space="preserve">The idea is simple. Today December coffee costs </w:t>
      </w:r>
      <w:r>
        <w:rPr>
          <w:rFonts w:ascii="Arial" w:cs="Arial" w:eastAsia="Arial" w:hAnsi="Arial"/>
          <w:b/>
          <w:bCs/>
          <w:sz w:val="21"/>
          <w:szCs w:val="21"/>
        </w:rPr>
        <w:t xml:space="preserve">8.25 US cents/lb more</w:t>
      </w:r>
      <w:r>
        <w:rPr>
          <w:rFonts w:ascii="Arial" w:cs="Arial" w:eastAsia="Arial" w:hAnsi="Arial"/>
          <w:sz w:val="21"/>
          <w:szCs w:val="21"/>
        </w:rPr>
        <w:t xml:space="preserve"> than March coffee. We expect that premium to shrink before December delivery starts, as it did in </w:t>
      </w:r>
      <w:r>
        <w:rPr>
          <w:rFonts w:ascii="Arial" w:cs="Arial" w:eastAsia="Arial" w:hAnsi="Arial"/>
          <w:b/>
          <w:bCs/>
          <w:sz w:val="21"/>
          <w:szCs w:val="21"/>
        </w:rPr>
        <w:t xml:space="preserve">2022</w:t>
      </w:r>
      <w:r>
        <w:rPr>
          <w:rFonts w:ascii="Arial" w:cs="Arial" w:eastAsia="Arial" w:hAnsi="Arial"/>
          <w:sz w:val="21"/>
          <w:szCs w:val="21"/>
        </w:rPr>
        <w:t xml:space="preserve">, the year that looks most like today. So we sell December and buy March as one spread trade, and we make money if the gap gets smaller.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126"/>
      </w:tblGrid>
      <w:tr>
        <w:trPr>
          <w:tblHeader/>
        </w:trPr>
        <w:tc>
          <w:tcPr>
            <w:tcW w:type="dxa" w:w="19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Item</w:t>
            </w:r>
          </w:p>
        </w:tc>
        <w:tc>
          <w:tcPr>
            <w:tcW w:type="dxa" w:w="71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Plan</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Trade</w:t>
            </w:r>
          </w:p>
        </w:tc>
        <w:tc>
          <w:tcPr>
            <w:tcW w:type="dxa" w:w="71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Sell 1 KCZ26 (Dec 2026) and buy 1 KCH27 (Mar 2027) for each spread. Same number of lots on each side.</w:t>
            </w:r>
          </w:p>
        </w:tc>
      </w:tr>
      <w:tr>
        <w:trPr>
          <w:cantSplit/>
        </w:trPr>
        <w:tc>
          <w:tcPr>
            <w:tcW w:type="dxa" w:w="19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Entry</w:t>
            </w:r>
          </w:p>
        </w:tc>
        <w:tc>
          <w:tcPr>
            <w:tcW w:type="dxa" w:w="71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Spread between 8.00¢ and 8.50¢ (now 8.25¢). Do not chase above 8.50¢.</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Stop (price)</w:t>
            </w:r>
          </w:p>
        </w:tc>
        <w:tc>
          <w:tcPr>
            <w:tcW w:type="dxa" w:w="71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Exit if the spread settles above 10.50¢. Loss ≈ 2.25¢ = $844 per spread, plus about $85 costs.</w:t>
            </w:r>
          </w:p>
        </w:tc>
      </w:tr>
      <w:tr>
        <w:trPr>
          <w:cantSplit/>
        </w:trPr>
        <w:tc>
          <w:tcPr>
            <w:tcW w:type="dxa" w:w="19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Stop (supply)</w:t>
            </w:r>
          </w:p>
        </w:tc>
        <w:tc>
          <w:tcPr>
            <w:tcW w:type="dxa" w:w="71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Exit if certified stocks fall below 240,000 bags, or fall for 10 reports in a row while fewer than 5,000 bags wait for grading.</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Target 1</w:t>
            </w:r>
          </w:p>
        </w:tc>
        <w:tc>
          <w:tcPr>
            <w:tcW w:type="dxa" w:w="71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2.50¢ – take profit on half. Gain 5.75¢ = $2,156 per spread.</w:t>
            </w:r>
          </w:p>
        </w:tc>
      </w:tr>
      <w:tr>
        <w:trPr>
          <w:cantSplit/>
        </w:trPr>
        <w:tc>
          <w:tcPr>
            <w:tcW w:type="dxa" w:w="19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Target 2</w:t>
            </w:r>
          </w:p>
        </w:tc>
        <w:tc>
          <w:tcPr>
            <w:tcW w:type="dxa" w:w="71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0.00¢ – take profit on the rest. Gain 8.25¢ = $3,094 per spread.</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Time rules</w:t>
            </w:r>
          </w:p>
        </w:tc>
        <w:tc>
          <w:tcPr>
            <w:tcW w:type="dxa" w:w="71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If the spread is still above 7.00¢ on 6 Nov (start of index roll), close half. Close everything by 18 Nov, the day before first notice.</w:t>
            </w:r>
          </w:p>
        </w:tc>
      </w:tr>
      <w:tr>
        <w:trPr>
          <w:cantSplit/>
        </w:trPr>
        <w:tc>
          <w:tcPr>
            <w:tcW w:type="dxa" w:w="19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Size</w:t>
            </w:r>
          </w:p>
        </w:tc>
        <w:tc>
          <w:tcPr>
            <w:tcW w:type="dxa" w:w="71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Small. Size so that hitting the stop costs no more than 1% of your trading capital.</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2A78D6" w:sz="18"/>
              <w:bottom w:val="none" w:color="FFFFFF" w:sz="0"/>
              <w:right w:val="none" w:color="FFFFFF" w:sz="0"/>
            </w:tcBorders>
            <w:shd w:fill="EEF3FA" w:color="auto" w:val="clear"/>
            <w:tcMar>
              <w:top w:type="dxa" w:w="140"/>
              <w:left w:type="dxa" w:w="220"/>
              <w:bottom w:type="dxa" w:w="120"/>
              <w:right w:type="dxa" w:w="200"/>
            </w:tcMar>
          </w:tcPr>
          <w:p>
            <w:pPr>
              <w:spacing w:after="80"/>
            </w:pPr>
            <w:r>
              <w:rPr>
                <w:rFonts w:ascii="Arial" w:cs="Arial" w:eastAsia="Arial" w:hAnsi="Arial"/>
                <w:b/>
                <w:bCs/>
                <w:color w:val="1F3A5F"/>
                <w:sz w:val="22"/>
                <w:szCs w:val="22"/>
              </w:rPr>
              <w:t xml:space="preserve">Why we think it works – and how sure we are</w:t>
            </w:r>
          </w:p>
          <w:p>
            <w:pPr>
              <w:spacing w:after="70" w:line="280"/>
            </w:pPr>
            <w:r>
              <w:rPr>
                <w:rFonts w:ascii="Arial" w:cs="Arial" w:eastAsia="Arial" w:hAnsi="Arial"/>
                <w:b/>
                <w:bCs/>
                <w:sz w:val="21"/>
                <w:szCs w:val="21"/>
              </w:rPr>
              <w:t xml:space="preserve">For: </w:t>
            </w:r>
            <w:r>
              <w:rPr>
                <w:rFonts w:ascii="Arial" w:cs="Arial" w:eastAsia="Arial" w:hAnsi="Arial"/>
                <w:sz w:val="21"/>
                <w:szCs w:val="21"/>
              </w:rPr>
              <w:t xml:space="preserve">in 2022 the spread stood at 8.40¢ on 3 October – almost exactly today's level – and fell to −2.90¢ by first notice day (−11.30¢). Then, as now, warehouse stocks were very low and a wave of Brazilian semi-washed coffee was queuing for ICE grading.</w:t>
            </w:r>
          </w:p>
          <w:p>
            <w:pPr>
              <w:spacing w:after="70" w:line="280"/>
            </w:pPr>
            <w:r>
              <w:rPr>
                <w:rFonts w:ascii="Arial" w:cs="Arial" w:eastAsia="Arial" w:hAnsi="Arial"/>
                <w:b/>
                <w:bCs/>
                <w:sz w:val="21"/>
                <w:szCs w:val="21"/>
              </w:rPr>
              <w:t xml:space="preserve">Against: </w:t>
            </w:r>
            <w:r>
              <w:rPr>
                <w:rFonts w:ascii="Arial" w:cs="Arial" w:eastAsia="Arial" w:hAnsi="Arial"/>
                <w:sz w:val="21"/>
                <w:szCs w:val="21"/>
              </w:rPr>
              <w:t xml:space="preserve">in 2023 and 2025 the same spread rose by 9.00¢ and 13.80¢ into first notice day, when no new supply was arriving. A rules-based test of bear spreads across all coffee contract months lost money (17 trades, 29% winners).</w:t>
            </w:r>
          </w:p>
          <w:p>
            <w:pPr>
              <w:spacing w:after="0" w:line="280"/>
            </w:pPr>
            <w:r>
              <w:rPr>
                <w:rFonts w:ascii="Arial" w:cs="Arial" w:eastAsia="Arial" w:hAnsi="Arial"/>
                <w:b/>
                <w:bCs/>
                <w:sz w:val="21"/>
                <w:szCs w:val="21"/>
              </w:rPr>
              <w:t xml:space="preserve">Our view: </w:t>
            </w:r>
            <w:r>
              <w:rPr>
                <w:rFonts w:ascii="Arial" w:cs="Arial" w:eastAsia="Arial" w:hAnsi="Arial"/>
                <w:sz w:val="21"/>
                <w:szCs w:val="21"/>
              </w:rPr>
              <w:t xml:space="preserve">this is a judgment trade with one strong historical match, not a proven system. The edge depends on supply continuing to arrive, so the plan exits fast if the stock reports stop confirming it.</w:t>
            </w:r>
          </w:p>
        </w:tc>
      </w:tr>
    </w:tbl>
    <w:p>
      <w:pPr>
        <w:spacing w:after="60"/>
      </w:pPr>
    </w:p>
    <w:p>
      <w:pPr>
        <w:keepNext/>
        <w:spacing w:after="60" w:before="120"/>
        <w:jc w:val="center"/>
      </w:pPr>
      <w:r>
        <w:drawing>
          <wp:inline distT="0" distB="0" distL="0" distR="0">
            <wp:extent cx="5715000" cy="3181350"/>
            <wp:effectExtent t="0" r="0" b="0" l="0"/>
            <wp:docPr id="1" name="chart4_trade_map.png" descr="Figure 1 – The trade on one page. Black line: December 2026 minus March 2027 settlement. The spread is inside the entry zone today." title="Figure 1 – The trade on one page. Black line: December 2026 minus March 2027 settlement. The spread is inside the entry zone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81350"/>
                    </a:xfrm>
                    <a:prstGeom prst="rect">
                      <a:avLst/>
                    </a:prstGeom>
                  </pic:spPr>
                </pic:pic>
              </a:graphicData>
            </a:graphic>
          </wp:inline>
        </w:drawing>
      </w:r>
    </w:p>
    <w:p>
      <w:pPr>
        <w:spacing w:after="200"/>
        <w:jc w:val="left"/>
      </w:pPr>
      <w:r>
        <w:rPr>
          <w:rFonts w:ascii="Arial" w:cs="Arial" w:eastAsia="Arial" w:hAnsi="Arial"/>
          <w:i/>
          <w:iCs/>
          <w:color w:val="52514E"/>
          <w:sz w:val="18"/>
          <w:szCs w:val="18"/>
        </w:rPr>
        <w:t xml:space="preserve">Figure 1 – The trade on one page. Black line: December 2026 minus March 2027 settlement. The spread is inside the entry zone today.</w:t>
      </w:r>
    </w:p>
    <w:p>
      <w:pPr>
        <w:pStyle w:val="Heading1"/>
        <w:keepNext/>
        <w:spacing w:after="140" w:before="280"/>
      </w:pPr>
      <w:r>
        <w:rPr>
          <w:rFonts w:ascii="Arial" w:cs="Arial" w:eastAsia="Arial" w:hAnsi="Arial"/>
          <w:b/>
          <w:bCs/>
          <w:color w:val="1F3A5F"/>
          <w:sz w:val="32"/>
          <w:szCs w:val="32"/>
        </w:rPr>
        <w:t xml:space="preserve">2. The December/March spread in plain words</w:t>
      </w:r>
    </w:p>
    <w:p>
      <w:pPr>
        <w:spacing w:after="120" w:before="0" w:line="300"/>
      </w:pPr>
      <w:r>
        <w:rPr>
          <w:rFonts w:ascii="Arial" w:cs="Arial" w:eastAsia="Arial" w:hAnsi="Arial"/>
          <w:sz w:val="21"/>
          <w:szCs w:val="21"/>
        </w:rPr>
        <w:t xml:space="preserve">The spread is the price of December coffee minus the price of March coffee. Each contract is 37,500 lb, so a 1¢/lb move in the spread is worth </w:t>
      </w:r>
      <w:r>
        <w:rPr>
          <w:rFonts w:ascii="Arial" w:cs="Arial" w:eastAsia="Arial" w:hAnsi="Arial"/>
          <w:b/>
          <w:bCs/>
          <w:sz w:val="21"/>
          <w:szCs w:val="21"/>
        </w:rPr>
        <w:t xml:space="preserve">$375 per spread</w:t>
      </w:r>
      <w:r>
        <w:rPr>
          <w:rFonts w:ascii="Arial" w:cs="Arial" w:eastAsia="Arial" w:hAnsi="Arial"/>
          <w:sz w:val="21"/>
          <w:szCs w:val="21"/>
        </w:rPr>
        <w:t xml:space="preserve">.</w:t>
      </w:r>
    </w:p>
    <w:p>
      <w:pPr>
        <w:pStyle w:val="ListParagraph"/>
        <w:numPr>
          <w:ilvl w:val="0"/>
          <w:numId w:val="2"/>
        </w:numPr>
        <w:spacing w:after="80" w:line="290"/>
      </w:pPr>
      <w:r>
        <w:rPr>
          <w:rFonts w:ascii="Arial" w:cs="Arial" w:eastAsia="Arial" w:hAnsi="Arial"/>
          <w:b/>
          <w:bCs/>
          <w:sz w:val="21"/>
          <w:szCs w:val="21"/>
        </w:rPr>
        <w:t xml:space="preserve">Above zero (backwardation): </w:t>
      </w:r>
      <w:r>
        <w:rPr>
          <w:rFonts w:ascii="Arial" w:cs="Arial" w:eastAsia="Arial" w:hAnsi="Arial"/>
          <w:sz w:val="21"/>
          <w:szCs w:val="21"/>
        </w:rPr>
        <w:t xml:space="preserve">buyers pay more for coffee now than later. This happens when coffee that can be delivered against the exchange is scarce.</w:t>
      </w:r>
    </w:p>
    <w:p>
      <w:pPr>
        <w:pStyle w:val="ListParagraph"/>
        <w:numPr>
          <w:ilvl w:val="0"/>
          <w:numId w:val="2"/>
        </w:numPr>
        <w:spacing w:after="80" w:line="290"/>
      </w:pPr>
      <w:r>
        <w:rPr>
          <w:rFonts w:ascii="Arial" w:cs="Arial" w:eastAsia="Arial" w:hAnsi="Arial"/>
          <w:b/>
          <w:bCs/>
          <w:sz w:val="21"/>
          <w:szCs w:val="21"/>
        </w:rPr>
        <w:t xml:space="preserve">Below zero (contango): </w:t>
      </w:r>
      <w:r>
        <w:rPr>
          <w:rFonts w:ascii="Arial" w:cs="Arial" w:eastAsia="Arial" w:hAnsi="Arial"/>
          <w:sz w:val="21"/>
          <w:szCs w:val="21"/>
        </w:rPr>
        <w:t xml:space="preserve">later coffee costs more, mostly because of storage and financing. This is the normal state when supply is comfortable.</w:t>
      </w:r>
    </w:p>
    <w:p>
      <w:pPr>
        <w:pStyle w:val="ListParagraph"/>
        <w:numPr>
          <w:ilvl w:val="0"/>
          <w:numId w:val="2"/>
        </w:numPr>
        <w:spacing w:after="80" w:line="290"/>
      </w:pPr>
      <w:r>
        <w:rPr>
          <w:rFonts w:ascii="Arial" w:cs="Arial" w:eastAsia="Arial" w:hAnsi="Arial"/>
          <w:b/>
          <w:bCs/>
          <w:sz w:val="21"/>
          <w:szCs w:val="21"/>
        </w:rPr>
        <w:t xml:space="preserve">Into first notice day: </w:t>
      </w:r>
      <w:r>
        <w:rPr>
          <w:rFonts w:ascii="Arial" w:cs="Arial" w:eastAsia="Arial" w:hAnsi="Arial"/>
          <w:sz w:val="21"/>
          <w:szCs w:val="21"/>
        </w:rPr>
        <w:t xml:space="preserve">holders of December who cannot take delivery must sell or roll. If sellers have plenty of certified coffee to deliver, the December premium tends to collapse. If they don't, it can explode.</w:t>
      </w:r>
    </w:p>
    <w:p>
      <w:pPr>
        <w:spacing w:after="120" w:before="80" w:line="300"/>
      </w:pPr>
      <w:r>
        <w:rPr>
          <w:rFonts w:ascii="Arial" w:cs="Arial" w:eastAsia="Arial" w:hAnsi="Arial"/>
          <w:sz w:val="21"/>
          <w:szCs w:val="21"/>
        </w:rPr>
        <w:t xml:space="preserve">That is why the most important input to this trade is not the coffee price itself but the </w:t>
      </w:r>
      <w:r>
        <w:rPr>
          <w:rFonts w:ascii="Arial" w:cs="Arial" w:eastAsia="Arial" w:hAnsi="Arial"/>
          <w:b/>
          <w:bCs/>
          <w:sz w:val="21"/>
          <w:szCs w:val="21"/>
        </w:rPr>
        <w:t xml:space="preserve">ICE certified warehouse stock report</w:t>
      </w:r>
      <w:r>
        <w:rPr>
          <w:rFonts w:ascii="Arial" w:cs="Arial" w:eastAsia="Arial" w:hAnsi="Arial"/>
          <w:sz w:val="21"/>
          <w:szCs w:val="21"/>
        </w:rPr>
        <w:t xml:space="preserve">: how much exchange-grade coffee is ready to deliver, and how much is waiting to be graded.</w:t>
      </w:r>
    </w:p>
    <w:p>
      <w:pPr>
        <w:pStyle w:val="Heading1"/>
        <w:keepNext/>
        <w:spacing w:after="140" w:before="280"/>
      </w:pPr>
      <w:r>
        <w:rPr>
          <w:rFonts w:ascii="Arial" w:cs="Arial" w:eastAsia="Arial" w:hAnsi="Arial"/>
          <w:b/>
          <w:bCs/>
          <w:color w:val="1F3A5F"/>
          <w:sz w:val="32"/>
          <w:szCs w:val="32"/>
        </w:rPr>
        <w:t xml:space="preserve">3. The 2022 analogy</w:t>
      </w:r>
    </w:p>
    <w:p>
      <w:pPr>
        <w:spacing w:after="120" w:before="0" w:line="300"/>
      </w:pPr>
      <w:r>
        <w:rPr>
          <w:rFonts w:ascii="Arial" w:cs="Arial" w:eastAsia="Arial" w:hAnsi="Arial"/>
          <w:sz w:val="21"/>
          <w:szCs w:val="21"/>
        </w:rPr>
        <w:t xml:space="preserve">We lined up every year since 2019 by the number of trading days left before December first notice day. On that clock, 2026 today sits almost exactly where 2022 was – and 2022 is the one year in which the spread collapsed from a high level.</w:t>
      </w:r>
    </w:p>
    <w:p>
      <w:pPr>
        <w:keepNext/>
        <w:spacing w:after="60" w:before="120"/>
        <w:jc w:val="center"/>
      </w:pPr>
      <w:r>
        <w:drawing>
          <wp:inline distT="0" distB="0" distL="0" distR="0">
            <wp:extent cx="5715000" cy="3514725"/>
            <wp:effectExtent t="0" r="0" b="0" l="0"/>
            <wp:docPr id="1" name="chart1_2022_analogy.png" descr="Figure 2 – Dec/Mar spread in the last 70 trading days before first notice day. Orange: 2022. Blue: 2026 so far. Dashed: 2023 and 2025, when the spread rose instead." title="Figure 2 – Dec/Mar spread in the last 70 trading days before first notice day. Orange: 2022. Blue: 2026 so far. Dashed: 2023 and 2025, when the spread rose inst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14725"/>
                    </a:xfrm>
                    <a:prstGeom prst="rect">
                      <a:avLst/>
                    </a:prstGeom>
                  </pic:spPr>
                </pic:pic>
              </a:graphicData>
            </a:graphic>
          </wp:inline>
        </w:drawing>
      </w:r>
    </w:p>
    <w:p>
      <w:pPr>
        <w:spacing w:after="200"/>
        <w:jc w:val="left"/>
      </w:pPr>
      <w:r>
        <w:rPr>
          <w:rFonts w:ascii="Arial" w:cs="Arial" w:eastAsia="Arial" w:hAnsi="Arial"/>
          <w:i/>
          <w:iCs/>
          <w:color w:val="52514E"/>
          <w:sz w:val="18"/>
          <w:szCs w:val="18"/>
        </w:rPr>
        <w:t xml:space="preserve">Figure 2 – Dec/Mar spread in the last 70 trading days before first notice day. Orange: 2022. Blue: 2026 so far. Dashed: 2023 and 2025, when the spread rose instead.</w:t>
      </w:r>
    </w:p>
    <w:p>
      <w:pPr>
        <w:pStyle w:val="Heading2"/>
        <w:keepNext/>
        <w:spacing w:after="100" w:before="220"/>
      </w:pPr>
      <w:r>
        <w:rPr>
          <w:rFonts w:ascii="Arial" w:cs="Arial" w:eastAsia="Arial" w:hAnsi="Arial"/>
          <w:b/>
          <w:bCs/>
          <w:color w:val="1F3A5F"/>
          <w:sz w:val="25"/>
          <w:szCs w:val="25"/>
        </w:rPr>
        <w:t xml:space="preserve">What happened in 2022,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700"/>
        <w:gridCol w:w="5726"/>
      </w:tblGrid>
      <w:tr>
        <w:trPr>
          <w:tblHeader/>
        </w:trPr>
        <w:tc>
          <w:tcPr>
            <w:tcW w:type="dxa" w:w="16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Date (2022)</w:t>
            </w:r>
          </w:p>
        </w:tc>
        <w:tc>
          <w:tcPr>
            <w:tcW w:type="dxa" w:w="17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Dec/Mar spread</w:t>
            </w:r>
          </w:p>
        </w:tc>
        <w:tc>
          <w:tcPr>
            <w:tcW w:type="dxa" w:w="57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What it meant</w:t>
            </w:r>
          </w:p>
        </w:tc>
      </w:tr>
      <w:tr>
        <w:trPr>
          <w:cantSplit/>
        </w:trPr>
        <w:tc>
          <w:tcPr>
            <w:tcW w:type="dxa" w:w="16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bCs/>
                <w:sz w:val="19"/>
                <w:szCs w:val="19"/>
              </w:rPr>
              <w:t xml:space="preserve">3–4 Oct</w:t>
            </w:r>
          </w:p>
        </w:tc>
        <w:tc>
          <w:tcPr>
            <w:tcW w:type="dxa" w:w="17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8.40¢ – 8.70¢</w:t>
            </w:r>
          </w:p>
        </w:tc>
        <w:tc>
          <w:tcPr>
            <w:tcW w:type="dxa" w:w="5726"/>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Same distance from first notice day as today (34–35 trading days). Our entry rule would have triggered.</w:t>
            </w:r>
          </w:p>
        </w:tc>
      </w:tr>
      <w:tr>
        <w:trPr>
          <w:cantSplit/>
        </w:trPr>
        <w:tc>
          <w:tcPr>
            <w:tcW w:type="dxa" w:w="16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6 Oct</w:t>
            </w:r>
          </w:p>
        </w:tc>
        <w:tc>
          <w:tcPr>
            <w:tcW w:type="dxa" w:w="17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10.05¢ (high)</w:t>
            </w:r>
          </w:p>
        </w:tc>
        <w:tc>
          <w:tcPr>
            <w:tcW w:type="dxa" w:w="57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Worst point. Just 0.45¢ below our 10.50¢ stop – the stop is tight, and that is deliberate.</w:t>
            </w:r>
          </w:p>
        </w:tc>
      </w:tr>
      <w:tr>
        <w:trPr>
          <w:cantSplit/>
        </w:trPr>
        <w:tc>
          <w:tcPr>
            <w:tcW w:type="dxa" w:w="16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26 Oct</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2.45¢</w:t>
            </w:r>
          </w:p>
        </w:tc>
        <w:tc>
          <w:tcPr>
            <w:tcW w:type="dxa" w:w="5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Target 1 (2.50¢) reached.</w:t>
            </w:r>
          </w:p>
        </w:tc>
      </w:tr>
      <w:tr>
        <w:trPr>
          <w:cantSplit/>
        </w:trPr>
        <w:tc>
          <w:tcPr>
            <w:tcW w:type="dxa" w:w="16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4 Nov</w:t>
            </w:r>
          </w:p>
        </w:tc>
        <w:tc>
          <w:tcPr>
            <w:tcW w:type="dxa" w:w="17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4.10¢</w:t>
            </w:r>
          </w:p>
        </w:tc>
        <w:tc>
          <w:tcPr>
            <w:tcW w:type="dxa" w:w="57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Reuters that day: ICE stocks at a 23-year low near 380,000 bags, but more than 160,000 bags waiting for grading and at least 100,000 more on the way – mostly Brazilian semi-washed coffee. The spread bounced, then fell again.</w:t>
            </w:r>
          </w:p>
        </w:tc>
      </w:tr>
      <w:tr>
        <w:trPr>
          <w:cantSplit/>
        </w:trPr>
        <w:tc>
          <w:tcPr>
            <w:tcW w:type="dxa" w:w="16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14 Nov</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−0.70¢</w:t>
            </w:r>
          </w:p>
        </w:tc>
        <w:tc>
          <w:tcPr>
            <w:tcW w:type="dxa" w:w="5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Target 2 (0.00¢) reached.</w:t>
            </w:r>
          </w:p>
        </w:tc>
      </w:tr>
      <w:tr>
        <w:trPr>
          <w:cantSplit/>
        </w:trPr>
        <w:tc>
          <w:tcPr>
            <w:tcW w:type="dxa" w:w="16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18 Nov</w:t>
            </w:r>
          </w:p>
        </w:tc>
        <w:tc>
          <w:tcPr>
            <w:tcW w:type="dxa" w:w="17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−3.80¢</w:t>
            </w:r>
          </w:p>
        </w:tc>
        <w:tc>
          <w:tcPr>
            <w:tcW w:type="dxa" w:w="57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Lowest point, the last trading day before first notice.</w:t>
            </w:r>
          </w:p>
        </w:tc>
      </w:tr>
      <w:tr>
        <w:trPr>
          <w:cantSplit/>
        </w:trPr>
        <w:tc>
          <w:tcPr>
            <w:tcW w:type="dxa" w:w="16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bCs/>
                <w:sz w:val="19"/>
                <w:szCs w:val="19"/>
              </w:rPr>
              <w:t xml:space="preserve">21 Nov (FND)</w:t>
            </w:r>
          </w:p>
        </w:tc>
        <w:tc>
          <w:tcPr>
            <w:tcW w:type="dxa" w:w="17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−2.90¢</w:t>
            </w:r>
          </w:p>
        </w:tc>
        <w:tc>
          <w:tcPr>
            <w:tcW w:type="dxa" w:w="5726"/>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Spread ended 11.30¢ lower than on 3 Oct.</w:t>
            </w:r>
          </w:p>
        </w:tc>
      </w:tr>
    </w:tbl>
    <w:p>
      <w:pPr>
        <w:spacing w:after="100"/>
      </w:pPr>
    </w:p>
    <w:p>
      <w:pPr>
        <w:spacing w:after="120" w:before="0" w:line="300"/>
      </w:pPr>
      <w:r>
        <w:rPr>
          <w:rFonts w:ascii="Arial" w:cs="Arial" w:eastAsia="Arial" w:hAnsi="Arial"/>
          <w:b/>
          <w:bCs/>
          <w:sz w:val="21"/>
          <w:szCs w:val="21"/>
        </w:rPr>
        <w:t xml:space="preserve">The lesson of 2022: </w:t>
      </w:r>
      <w:r>
        <w:rPr>
          <w:rFonts w:ascii="Arial" w:cs="Arial" w:eastAsia="Arial" w:hAnsi="Arial"/>
          <w:sz w:val="21"/>
          <w:szCs w:val="21"/>
        </w:rPr>
        <w:t xml:space="preserve">the spread did not need warehouse stocks to be high. It needed the market to see that deliverable supply was on its way. Low stocks plus a visible grading queue was enough to break the December premium.</w:t>
      </w:r>
    </w:p>
    <w:p>
      <w:pPr>
        <w:pStyle w:val="Heading2"/>
        <w:keepNext/>
        <w:spacing w:after="100" w:before="220"/>
      </w:pPr>
      <w:r>
        <w:rPr>
          <w:rFonts w:ascii="Arial" w:cs="Arial" w:eastAsia="Arial" w:hAnsi="Arial"/>
          <w:b/>
          <w:bCs/>
          <w:color w:val="1F3A5F"/>
          <w:sz w:val="25"/>
          <w:szCs w:val="25"/>
        </w:rPr>
        <w:t xml:space="preserve">2022 and 2026 side by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800"/>
        <w:gridCol w:w="2826"/>
      </w:tblGrid>
      <w:tr>
        <w:trPr>
          <w:tblHeader/>
        </w:trPr>
        <w:tc>
          <w:tcPr>
            <w:tcW w:type="dxa" w:w="34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
            </w:r>
          </w:p>
        </w:tc>
        <w:tc>
          <w:tcPr>
            <w:tcW w:type="dxa" w:w="28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2022</w:t>
            </w:r>
          </w:p>
        </w:tc>
        <w:tc>
          <w:tcPr>
            <w:tcW w:type="dxa" w:w="28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2026 (today)</w:t>
            </w:r>
          </w:p>
        </w:tc>
      </w:tr>
      <w:tr>
        <w:trPr>
          <w:cantSplit/>
        </w:trPr>
        <w:tc>
          <w:tcPr>
            <w:tcW w:type="dxa" w:w="34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Dec/Mar spread, 34 trading days before FND</w:t>
            </w:r>
          </w:p>
        </w:tc>
        <w:tc>
          <w:tcPr>
            <w:tcW w:type="dxa" w:w="28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8.40¢ – 8.70¢</w:t>
            </w:r>
          </w:p>
        </w:tc>
        <w:tc>
          <w:tcPr>
            <w:tcW w:type="dxa" w:w="28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8.25¢</w:t>
            </w:r>
          </w:p>
        </w:tc>
      </w:tr>
      <w:tr>
        <w:trPr>
          <w:cantSplit/>
        </w:trPr>
        <w:tc>
          <w:tcPr>
            <w:tcW w:type="dxa" w:w="34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Highest level since August</w:t>
            </w:r>
          </w:p>
        </w:tc>
        <w:tc>
          <w:tcPr>
            <w:tcW w:type="dxa" w:w="28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10.05¢ (6 Oct)</w:t>
            </w:r>
          </w:p>
        </w:tc>
        <w:tc>
          <w:tcPr>
            <w:tcW w:type="dxa" w:w="28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14.80¢ (24 Aug)</w:t>
            </w:r>
          </w:p>
        </w:tc>
      </w:tr>
      <w:tr>
        <w:trPr>
          <w:cantSplit/>
        </w:trPr>
        <w:tc>
          <w:tcPr>
            <w:tcW w:type="dxa" w:w="34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Certified stocks</w:t>
            </w:r>
          </w:p>
        </w:tc>
        <w:tc>
          <w:tcPr>
            <w:tcW w:type="dxa" w:w="28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~380,000 bags, 23-year low</w:t>
            </w:r>
          </w:p>
        </w:tc>
        <w:tc>
          <w:tcPr>
            <w:tcW w:type="dxa" w:w="28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260,239 bags – lower still</w:t>
            </w:r>
          </w:p>
        </w:tc>
      </w:tr>
      <w:tr>
        <w:trPr>
          <w:cantSplit/>
        </w:trPr>
        <w:tc>
          <w:tcPr>
            <w:tcW w:type="dxa" w:w="34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Coffee waiting for grading</w:t>
            </w:r>
          </w:p>
        </w:tc>
        <w:tc>
          <w:tcPr>
            <w:tcW w:type="dxa" w:w="28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&gt;160,000 bags, +100,000 on the way</w:t>
            </w:r>
          </w:p>
        </w:tc>
        <w:tc>
          <w:tcPr>
            <w:tcW w:type="dxa" w:w="28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Peak 64,955 (11 Sep); 12,646 now</w:t>
            </w:r>
          </w:p>
        </w:tc>
      </w:tr>
      <w:tr>
        <w:trPr>
          <w:cantSplit/>
        </w:trPr>
        <w:tc>
          <w:tcPr>
            <w:tcW w:type="dxa" w:w="34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Where the new supply came from</w:t>
            </w:r>
          </w:p>
        </w:tc>
        <w:tc>
          <w:tcPr>
            <w:tcW w:type="dxa" w:w="28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Brazilian semi-washed</w:t>
            </w:r>
          </w:p>
        </w:tc>
        <w:tc>
          <w:tcPr>
            <w:tcW w:type="dxa" w:w="28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Brazil: 98.5% of the queue at its peak; 100% at Antwerp</w:t>
            </w:r>
          </w:p>
        </w:tc>
      </w:tr>
      <w:tr>
        <w:trPr>
          <w:cantSplit/>
        </w:trPr>
        <w:tc>
          <w:tcPr>
            <w:tcW w:type="dxa" w:w="34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Outcome into FND</w:t>
            </w:r>
          </w:p>
        </w:tc>
        <w:tc>
          <w:tcPr>
            <w:tcW w:type="dxa" w:w="28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Fell 11.30¢ to −2.90¢</w:t>
            </w:r>
          </w:p>
        </w:tc>
        <w:tc>
          <w:tcPr>
            <w:tcW w:type="dxa" w:w="28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EB6834" w:sz="18"/>
              <w:bottom w:val="none" w:color="FFFFFF" w:sz="0"/>
              <w:right w:val="none" w:color="FFFFFF" w:sz="0"/>
            </w:tcBorders>
            <w:shd w:fill="FDF3EC" w:color="auto" w:val="clear"/>
            <w:tcMar>
              <w:top w:type="dxa" w:w="140"/>
              <w:left w:type="dxa" w:w="220"/>
              <w:bottom w:type="dxa" w:w="120"/>
              <w:right w:type="dxa" w:w="200"/>
            </w:tcMar>
          </w:tcPr>
          <w:p>
            <w:pPr>
              <w:spacing w:after="80"/>
            </w:pPr>
            <w:r>
              <w:rPr>
                <w:rFonts w:ascii="Arial" w:cs="Arial" w:eastAsia="Arial" w:hAnsi="Arial"/>
                <w:b/>
                <w:bCs/>
                <w:color w:val="1F3A5F"/>
                <w:sz w:val="22"/>
                <w:szCs w:val="22"/>
              </w:rPr>
              <w:t xml:space="preserve">Where 2026 is different – read this before trading</w:t>
            </w:r>
          </w:p>
          <w:p>
            <w:pPr>
              <w:spacing w:after="70" w:line="280"/>
            </w:pPr>
            <w:r>
              <w:rPr>
                <w:rFonts w:ascii="Arial" w:cs="Arial" w:eastAsia="Arial" w:hAnsi="Arial"/>
                <w:b/>
                <w:bCs/>
                <w:sz w:val="21"/>
                <w:szCs w:val="21"/>
              </w:rPr>
              <w:t xml:space="preserve">1. Much of the supply wave has already landed. </w:t>
            </w:r>
            <w:r>
              <w:rPr>
                <w:rFonts w:ascii="Arial" w:cs="Arial" w:eastAsia="Arial" w:hAnsi="Arial"/>
                <w:sz w:val="21"/>
                <w:szCs w:val="21"/>
              </w:rPr>
              <w:t xml:space="preserve">In 2022 the queue was large and growing into November. In 2026 the queue peaked in mid-September and is now small (12,646 bags, about 5% of stocks). The spread already fell from 14.80¢ to about 8¢ on this news.</w:t>
            </w:r>
          </w:p>
          <w:p>
            <w:pPr>
              <w:spacing w:after="70" w:line="280"/>
            </w:pPr>
            <w:r>
              <w:rPr>
                <w:rFonts w:ascii="Arial" w:cs="Arial" w:eastAsia="Arial" w:hAnsi="Arial"/>
                <w:b/>
                <w:bCs/>
                <w:sz w:val="21"/>
                <w:szCs w:val="21"/>
              </w:rPr>
              <w:t xml:space="preserve">2. Stocks are even lower than in 2022. </w:t>
            </w:r>
            <w:r>
              <w:rPr>
                <w:rFonts w:ascii="Arial" w:cs="Arial" w:eastAsia="Arial" w:hAnsi="Arial"/>
                <w:sz w:val="21"/>
                <w:szCs w:val="21"/>
              </w:rPr>
              <w:t xml:space="preserve">At 260,000 bags, there is less room for error. If stocks start falling again, the 2023 or 2025 pattern – a rising spread – becomes the risk.</w:t>
            </w:r>
          </w:p>
          <w:p>
            <w:pPr>
              <w:spacing w:after="0" w:line="280"/>
            </w:pPr>
            <w:r>
              <w:rPr>
                <w:rFonts w:ascii="Arial" w:cs="Arial" w:eastAsia="Arial" w:hAnsi="Arial"/>
                <w:b/>
                <w:bCs/>
                <w:sz w:val="21"/>
                <w:szCs w:val="21"/>
              </w:rPr>
              <w:t xml:space="preserve">3. One match is not proof. </w:t>
            </w:r>
            <w:r>
              <w:rPr>
                <w:rFonts w:ascii="Arial" w:cs="Arial" w:eastAsia="Arial" w:hAnsi="Arial"/>
                <w:sz w:val="21"/>
                <w:szCs w:val="21"/>
              </w:rPr>
              <w:t xml:space="preserve">2022 is the only year since 2019 that fits this setup, so the analogy guides the plan but cannot guarantee it. That is why the plan has a supply stop, not only a price stop.</w:t>
            </w:r>
          </w:p>
        </w:tc>
      </w:tr>
    </w:tbl>
    <w:p>
      <w:r>
        <w:br w:type="page"/>
      </w:r>
    </w:p>
    <w:p>
      <w:pPr>
        <w:pStyle w:val="Heading1"/>
        <w:keepNext/>
        <w:spacing w:after="140" w:before="280"/>
      </w:pPr>
      <w:r>
        <w:rPr>
          <w:rFonts w:ascii="Arial" w:cs="Arial" w:eastAsia="Arial" w:hAnsi="Arial"/>
          <w:b/>
          <w:bCs/>
          <w:color w:val="1F3A5F"/>
          <w:sz w:val="32"/>
          <w:szCs w:val="32"/>
        </w:rPr>
        <w:t xml:space="preserve">4. What the 2026 warehouse reports show</w:t>
      </w:r>
    </w:p>
    <w:p>
      <w:pPr>
        <w:spacing w:after="120" w:before="0" w:line="300"/>
      </w:pPr>
      <w:r>
        <w:rPr>
          <w:rFonts w:ascii="Arial" w:cs="Arial" w:eastAsia="Arial" w:hAnsi="Arial"/>
          <w:sz w:val="21"/>
          <w:szCs w:val="21"/>
        </w:rPr>
        <w:t xml:space="preserve">We read all 42 daily ICE Coffee "C" certified stock reports from 5 August to 2 October 2026. The story has four phases.</w:t>
      </w:r>
    </w:p>
    <w:p>
      <w:pPr>
        <w:keepNext/>
        <w:spacing w:after="60" w:before="120"/>
        <w:jc w:val="center"/>
      </w:pPr>
      <w:r>
        <w:drawing>
          <wp:inline distT="0" distB="0" distL="0" distR="0">
            <wp:extent cx="5715000" cy="4124325"/>
            <wp:effectExtent t="0" r="0" b="0" l="0"/>
            <wp:docPr id="1" name="chart2_stocks_vs_spread_2026.png" descr="Figure 3 – Top: certified stocks (blue) and bags waiting for grading (orange). Bottom: the Dec/Mar spread over the same weeks." title="Figure 3 – Top: certified stocks (blue) and bags waiting for grading (orange). Bottom: the Dec/Mar spread over the same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24325"/>
                    </a:xfrm>
                    <a:prstGeom prst="rect">
                      <a:avLst/>
                    </a:prstGeom>
                  </pic:spPr>
                </pic:pic>
              </a:graphicData>
            </a:graphic>
          </wp:inline>
        </w:drawing>
      </w:r>
    </w:p>
    <w:p>
      <w:pPr>
        <w:spacing w:after="200"/>
        <w:jc w:val="left"/>
      </w:pPr>
      <w:r>
        <w:rPr>
          <w:rFonts w:ascii="Arial" w:cs="Arial" w:eastAsia="Arial" w:hAnsi="Arial"/>
          <w:i/>
          <w:iCs/>
          <w:color w:val="52514E"/>
          <w:sz w:val="18"/>
          <w:szCs w:val="18"/>
        </w:rPr>
        <w:t xml:space="preserve">Figure 3 – Top: certified stocks (blue) and bags waiting for grading (orange). Bottom: the Dec/Mar spread over the same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1450"/>
        <w:gridCol w:w="1750"/>
        <w:gridCol w:w="1650"/>
        <w:gridCol w:w="2826"/>
      </w:tblGrid>
      <w:tr>
        <w:trPr>
          <w:tblHeader/>
        </w:trPr>
        <w:tc>
          <w:tcPr>
            <w:tcW w:type="dxa" w:w="135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Phase</w:t>
            </w:r>
          </w:p>
        </w:tc>
        <w:tc>
          <w:tcPr>
            <w:tcW w:type="dxa" w:w="145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Dates</w:t>
            </w:r>
          </w:p>
        </w:tc>
        <w:tc>
          <w:tcPr>
            <w:tcW w:type="dxa" w:w="175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Certified stocks</w:t>
            </w:r>
          </w:p>
        </w:tc>
        <w:tc>
          <w:tcPr>
            <w:tcW w:type="dxa" w:w="165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Waiting for grading</w:t>
            </w:r>
          </w:p>
        </w:tc>
        <w:tc>
          <w:tcPr>
            <w:tcW w:type="dxa" w:w="28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What happened</w:t>
            </w:r>
          </w:p>
        </w:tc>
      </w:tr>
      <w:tr>
        <w:trPr>
          <w:cantSplit/>
        </w:trPr>
        <w:tc>
          <w:tcPr>
            <w:tcW w:type="dxa" w:w="13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1. Drawdown</w:t>
            </w:r>
          </w:p>
        </w:tc>
        <w:tc>
          <w:tcPr>
            <w:tcW w:type="dxa" w:w="14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5 Aug – 4 Sep</w:t>
            </w:r>
          </w:p>
        </w:tc>
        <w:tc>
          <w:tcPr>
            <w:tcW w:type="dxa" w:w="17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251,417 → 223,712</w:t>
            </w:r>
          </w:p>
        </w:tc>
        <w:tc>
          <w:tcPr>
            <w:tcW w:type="dxa" w:w="16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about 3,000</w:t>
            </w:r>
          </w:p>
        </w:tc>
        <w:tc>
          <w:tcPr>
            <w:tcW w:type="dxa" w:w="28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Stocks fell about 11%. Almost nothing was queuing. The spread climbed to 14.80¢.</w:t>
            </w:r>
          </w:p>
        </w:tc>
      </w:tr>
      <w:tr>
        <w:trPr>
          <w:cantSplit/>
        </w:trPr>
        <w:tc>
          <w:tcPr>
            <w:tcW w:type="dxa" w:w="13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2. Queue builds</w:t>
            </w:r>
          </w:p>
        </w:tc>
        <w:tc>
          <w:tcPr>
            <w:tcW w:type="dxa" w:w="14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8 – 15 Sep</w:t>
            </w:r>
          </w:p>
        </w:tc>
        <w:tc>
          <w:tcPr>
            <w:tcW w:type="dxa" w:w="17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low 217,646 (15 Sep)</w:t>
            </w:r>
          </w:p>
        </w:tc>
        <w:tc>
          <w:tcPr>
            <w:tcW w:type="dxa" w:w="16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peak 64,955 (11 Sep)</w:t>
            </w:r>
          </w:p>
        </w:tc>
        <w:tc>
          <w:tcPr>
            <w:tcW w:type="dxa" w:w="28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Brazilian coffee arrived at Antwerp for grading.</w:t>
            </w:r>
          </w:p>
        </w:tc>
      </w:tr>
      <w:tr>
        <w:trPr>
          <w:cantSplit/>
        </w:trPr>
        <w:tc>
          <w:tcPr>
            <w:tcW w:type="dxa" w:w="13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3. Fast grading</w:t>
            </w:r>
          </w:p>
        </w:tc>
        <w:tc>
          <w:tcPr>
            <w:tcW w:type="dxa" w:w="14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16 – 18 Sep</w:t>
            </w:r>
          </w:p>
        </w:tc>
        <w:tc>
          <w:tcPr>
            <w:tcW w:type="dxa" w:w="17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 258,415</w:t>
            </w:r>
          </w:p>
        </w:tc>
        <w:tc>
          <w:tcPr>
            <w:tcW w:type="dxa" w:w="16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 23,685</w:t>
            </w:r>
          </w:p>
        </w:tc>
        <w:tc>
          <w:tcPr>
            <w:tcW w:type="dxa" w:w="28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41,270 bags passed in three sessions.</w:t>
            </w:r>
          </w:p>
        </w:tc>
      </w:tr>
      <w:tr>
        <w:trPr>
          <w:cantSplit/>
        </w:trPr>
        <w:tc>
          <w:tcPr>
            <w:tcW w:type="dxa" w:w="13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4. Plateau</w:t>
            </w:r>
          </w:p>
        </w:tc>
        <w:tc>
          <w:tcPr>
            <w:tcW w:type="dxa" w:w="14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21 Sep – 2 Oct</w:t>
            </w:r>
          </w:p>
        </w:tc>
        <w:tc>
          <w:tcPr>
            <w:tcW w:type="dxa" w:w="17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260,239 (2 Oct)</w:t>
            </w:r>
          </w:p>
        </w:tc>
        <w:tc>
          <w:tcPr>
            <w:tcW w:type="dxa" w:w="16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12,646 (2 Oct)</w:t>
            </w:r>
          </w:p>
        </w:tc>
        <w:tc>
          <w:tcPr>
            <w:tcW w:type="dxa" w:w="28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A second grading wave, then stable.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6"/>
        <w:gridCol w:w="2000"/>
      </w:tblGrid>
      <w:tr>
        <w:trPr>
          <w:tblHeader/>
        </w:trPr>
        <w:tc>
          <w:tcPr>
            <w:tcW w:type="dxa" w:w="70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Grading results, 5 Aug – 2 Oct 2026</w:t>
            </w:r>
          </w:p>
        </w:tc>
        <w:tc>
          <w:tcPr>
            <w:tcW w:type="dxa" w:w="20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Bags</w:t>
            </w:r>
          </w:p>
        </w:tc>
      </w:tr>
      <w:tr>
        <w:trPr>
          <w:cantSplit/>
        </w:trPr>
        <w:tc>
          <w:tcPr>
            <w:tcW w:type="dxa" w:w="70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Passed grading</w:t>
            </w:r>
          </w:p>
        </w:tc>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jc w:val="right"/>
            </w:pPr>
            <w:r>
              <w:rPr>
                <w:rFonts w:ascii="Arial" w:cs="Arial" w:eastAsia="Arial" w:hAnsi="Arial"/>
                <w:sz w:val="19"/>
                <w:szCs w:val="19"/>
              </w:rPr>
              <w:t xml:space="preserve">64,083</w:t>
            </w:r>
          </w:p>
        </w:tc>
      </w:tr>
      <w:tr>
        <w:trPr>
          <w:cantSplit/>
        </w:trPr>
        <w:tc>
          <w:tcPr>
            <w:tcW w:type="dxa" w:w="70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Failed grading</w:t>
            </w:r>
          </w:p>
        </w:tc>
        <w:tc>
          <w:tcPr>
            <w:tcW w:type="dxa" w:w="20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jc w:val="right"/>
            </w:pPr>
            <w:r>
              <w:rPr>
                <w:rFonts w:ascii="Arial" w:cs="Arial" w:eastAsia="Arial" w:hAnsi="Arial"/>
                <w:sz w:val="19"/>
                <w:szCs w:val="19"/>
              </w:rPr>
              <w:t xml:space="preserve">31,369</w:t>
            </w:r>
          </w:p>
        </w:tc>
      </w:tr>
      <w:tr>
        <w:trPr>
          <w:cantSplit/>
        </w:trPr>
        <w:tc>
          <w:tcPr>
            <w:tcW w:type="dxa" w:w="70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Pass rate</w:t>
            </w:r>
          </w:p>
        </w:tc>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jc w:val="right"/>
            </w:pPr>
            <w:r>
              <w:rPr>
                <w:rFonts w:ascii="Arial" w:cs="Arial" w:eastAsia="Arial" w:hAnsi="Arial"/>
                <w:sz w:val="19"/>
                <w:szCs w:val="19"/>
              </w:rPr>
              <w:t xml:space="preserve">67.1%</w:t>
            </w:r>
          </w:p>
        </w:tc>
      </w:tr>
      <w:tr>
        <w:trPr>
          <w:cantSplit/>
        </w:trPr>
        <w:tc>
          <w:tcPr>
            <w:tcW w:type="dxa" w:w="70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Share of passed bags from Brazil</w:t>
            </w:r>
          </w:p>
        </w:tc>
        <w:tc>
          <w:tcPr>
            <w:tcW w:type="dxa" w:w="20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jc w:val="right"/>
            </w:pPr>
            <w:r>
              <w:rPr>
                <w:rFonts w:ascii="Arial" w:cs="Arial" w:eastAsia="Arial" w:hAnsi="Arial"/>
                <w:sz w:val="19"/>
                <w:szCs w:val="19"/>
              </w:rPr>
              <w:t xml:space="preserve">97%</w:t>
            </w:r>
          </w:p>
        </w:tc>
      </w:tr>
      <w:tr>
        <w:trPr>
          <w:cantSplit/>
        </w:trPr>
        <w:tc>
          <w:tcPr>
            <w:tcW w:type="dxa" w:w="70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Share of passed bags graded at Antwerp</w:t>
            </w:r>
          </w:p>
        </w:tc>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jc w:val="right"/>
            </w:pPr>
            <w:r>
              <w:rPr>
                <w:rFonts w:ascii="Arial" w:cs="Arial" w:eastAsia="Arial" w:hAnsi="Arial"/>
                <w:sz w:val="19"/>
                <w:szCs w:val="19"/>
              </w:rPr>
              <w:t xml:space="preserve">96%</w:t>
            </w:r>
          </w:p>
        </w:tc>
      </w:tr>
      <w:tr>
        <w:trPr>
          <w:cantSplit/>
        </w:trPr>
        <w:tc>
          <w:tcPr>
            <w:tcW w:type="dxa" w:w="70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"Transition" bags (discount applies from 2027) as share of stocks, 2 Oct</w:t>
            </w:r>
          </w:p>
        </w:tc>
        <w:tc>
          <w:tcPr>
            <w:tcW w:type="dxa" w:w="20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jc w:val="right"/>
            </w:pPr>
            <w:r>
              <w:rPr>
                <w:rFonts w:ascii="Arial" w:cs="Arial" w:eastAsia="Arial" w:hAnsi="Arial"/>
                <w:sz w:val="19"/>
                <w:szCs w:val="19"/>
              </w:rPr>
              <w:t xml:space="preserve">77.6%</w:t>
            </w:r>
          </w:p>
        </w:tc>
      </w:tr>
    </w:tbl>
    <w:p>
      <w:pPr>
        <w:spacing w:after="100"/>
      </w:pPr>
    </w:p>
    <w:p>
      <w:pPr>
        <w:pStyle w:val="Heading2"/>
        <w:keepNext/>
        <w:spacing w:after="100" w:before="220"/>
      </w:pPr>
      <w:r>
        <w:rPr>
          <w:rFonts w:ascii="Arial" w:cs="Arial" w:eastAsia="Arial" w:hAnsi="Arial"/>
          <w:b/>
          <w:bCs/>
          <w:color w:val="1F3A5F"/>
          <w:sz w:val="25"/>
          <w:szCs w:val="25"/>
        </w:rPr>
        <w:t xml:space="preserve">Two things the data does NOT show</w:t>
      </w:r>
    </w:p>
    <w:p>
      <w:pPr>
        <w:pStyle w:val="ListParagraph"/>
        <w:numPr>
          <w:ilvl w:val="0"/>
          <w:numId w:val="2"/>
        </w:numPr>
        <w:spacing w:after="80" w:line="290"/>
      </w:pPr>
      <w:r>
        <w:rPr>
          <w:rFonts w:ascii="Arial" w:cs="Arial" w:eastAsia="Arial" w:hAnsi="Arial"/>
          <w:b/>
          <w:bCs/>
          <w:sz w:val="21"/>
          <w:szCs w:val="21"/>
        </w:rPr>
        <w:t xml:space="preserve">The report did not lead the spread. </w:t>
      </w:r>
      <w:r>
        <w:rPr>
          <w:rFonts w:ascii="Arial" w:cs="Arial" w:eastAsia="Arial" w:hAnsi="Arial"/>
          <w:sz w:val="21"/>
          <w:szCs w:val="21"/>
        </w:rPr>
        <w:t xml:space="preserve">The spread fell from 12.2¢ to 8.2¢ on 2–4 September, before the queue appeared in the reports on 8 September, and it barely moved while 41,000 bags passed grading. The market learns about shipments faster than the report shows them. Use the report to confirm the thesis, not to time entries.</w:t>
      </w:r>
    </w:p>
    <w:p>
      <w:pPr>
        <w:pStyle w:val="ListParagraph"/>
        <w:numPr>
          <w:ilvl w:val="0"/>
          <w:numId w:val="2"/>
        </w:numPr>
        <w:spacing w:after="80" w:line="290"/>
      </w:pPr>
      <w:r>
        <w:rPr>
          <w:rFonts w:ascii="Arial" w:cs="Arial" w:eastAsia="Arial" w:hAnsi="Arial"/>
          <w:b/>
          <w:bCs/>
          <w:sz w:val="21"/>
          <w:szCs w:val="21"/>
        </w:rPr>
        <w:t xml:space="preserve">More stocks did not push the spread lower by themselves. </w:t>
      </w:r>
      <w:r>
        <w:rPr>
          <w:rFonts w:ascii="Arial" w:cs="Arial" w:eastAsia="Arial" w:hAnsi="Arial"/>
          <w:sz w:val="21"/>
          <w:szCs w:val="21"/>
        </w:rPr>
        <w:t xml:space="preserve">Since 4 September the spread has stayed between 7.35¢ and 9.20¢. In 2022, most of the fall came in the final weeks, through index rolling and first notice day. We expect the same timing now.</w:t>
      </w:r>
    </w:p>
    <w:p>
      <w:pPr>
        <w:pStyle w:val="Heading1"/>
        <w:keepNext/>
        <w:spacing w:after="140" w:before="280"/>
      </w:pPr>
      <w:r>
        <w:rPr>
          <w:rFonts w:ascii="Arial" w:cs="Arial" w:eastAsia="Arial" w:hAnsi="Arial"/>
          <w:b/>
          <w:bCs/>
          <w:color w:val="1F3A5F"/>
          <w:sz w:val="32"/>
          <w:szCs w:val="32"/>
        </w:rPr>
        <w:t xml:space="preserve">5. Every year since 2019</w:t>
      </w:r>
    </w:p>
    <w:p>
      <w:pPr>
        <w:keepNext/>
        <w:spacing w:after="60" w:before="120"/>
        <w:jc w:val="center"/>
      </w:pPr>
      <w:r>
        <w:drawing>
          <wp:inline distT="0" distB="0" distL="0" distR="0">
            <wp:extent cx="5715000" cy="3152775"/>
            <wp:effectExtent t="0" r="0" b="0" l="0"/>
            <wp:docPr id="1" name="chart3_oct_to_fnd_by_year.png" descr="Figure 4 – Change in the Dec/Mar spread from 1 October to December first notice day." title="Figure 4 – Change in the Dec/Mar spread from 1 October to December first notice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52775"/>
                    </a:xfrm>
                    <a:prstGeom prst="rect">
                      <a:avLst/>
                    </a:prstGeom>
                  </pic:spPr>
                </pic:pic>
              </a:graphicData>
            </a:graphic>
          </wp:inline>
        </w:drawing>
      </w:r>
    </w:p>
    <w:p>
      <w:pPr>
        <w:spacing w:after="200"/>
        <w:jc w:val="left"/>
      </w:pPr>
      <w:r>
        <w:rPr>
          <w:rFonts w:ascii="Arial" w:cs="Arial" w:eastAsia="Arial" w:hAnsi="Arial"/>
          <w:i/>
          <w:iCs/>
          <w:color w:val="52514E"/>
          <w:sz w:val="18"/>
          <w:szCs w:val="18"/>
        </w:rPr>
        <w:t xml:space="preserve">Figure 4 – Change in the Dec/Mar spread from 1 October to December first notice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50"/>
        <w:gridCol w:w="1550"/>
        <w:gridCol w:w="1300"/>
        <w:gridCol w:w="3726"/>
      </w:tblGrid>
      <w:tr>
        <w:trPr>
          <w:tblHeader/>
        </w:trPr>
        <w:tc>
          <w:tcPr>
            <w:tcW w:type="dxa" w:w="9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Year</w:t>
            </w:r>
          </w:p>
        </w:tc>
        <w:tc>
          <w:tcPr>
            <w:tcW w:type="dxa" w:w="155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Spread on 1 Oct</w:t>
            </w:r>
          </w:p>
        </w:tc>
        <w:tc>
          <w:tcPr>
            <w:tcW w:type="dxa" w:w="155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Spread at FND</w:t>
            </w:r>
          </w:p>
        </w:tc>
        <w:tc>
          <w:tcPr>
            <w:tcW w:type="dxa" w:w="13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Change</w:t>
            </w:r>
          </w:p>
        </w:tc>
        <w:tc>
          <w:tcPr>
            <w:tcW w:type="dxa" w:w="37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Would this plan have traded?</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2019</w:t>
            </w:r>
          </w:p>
        </w:tc>
        <w:tc>
          <w:tcPr>
            <w:tcW w:type="dxa" w:w="15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−3.60¢</w:t>
            </w:r>
          </w:p>
        </w:tc>
        <w:tc>
          <w:tcPr>
            <w:tcW w:type="dxa" w:w="15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−1.25¢</w:t>
            </w:r>
          </w:p>
        </w:tc>
        <w:tc>
          <w:tcPr>
            <w:tcW w:type="dxa" w:w="1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+2.35¢</w:t>
            </w:r>
          </w:p>
        </w:tc>
        <w:tc>
          <w:tcPr>
            <w:tcW w:type="dxa" w:w="3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No – no backwardation</w:t>
            </w:r>
          </w:p>
        </w:tc>
      </w:tr>
      <w:tr>
        <w:trPr>
          <w:cantSplit/>
        </w:trPr>
        <w:tc>
          <w:tcPr>
            <w:tcW w:type="dxa" w:w="9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2020</w:t>
            </w:r>
          </w:p>
        </w:tc>
        <w:tc>
          <w:tcPr>
            <w:tcW w:type="dxa" w:w="15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−2.15¢</w:t>
            </w:r>
          </w:p>
        </w:tc>
        <w:tc>
          <w:tcPr>
            <w:tcW w:type="dxa" w:w="15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−2.55¢</w:t>
            </w:r>
          </w:p>
        </w:tc>
        <w:tc>
          <w:tcPr>
            <w:tcW w:type="dxa" w:w="1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−0.40¢</w:t>
            </w:r>
          </w:p>
        </w:tc>
        <w:tc>
          <w:tcPr>
            <w:tcW w:type="dxa" w:w="37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No – no backwardation</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2021</w:t>
            </w:r>
          </w:p>
        </w:tc>
        <w:tc>
          <w:tcPr>
            <w:tcW w:type="dxa" w:w="15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−2.85¢</w:t>
            </w:r>
          </w:p>
        </w:tc>
        <w:tc>
          <w:tcPr>
            <w:tcW w:type="dxa" w:w="15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−0.10¢</w:t>
            </w:r>
          </w:p>
        </w:tc>
        <w:tc>
          <w:tcPr>
            <w:tcW w:type="dxa" w:w="1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+2.75¢</w:t>
            </w:r>
          </w:p>
        </w:tc>
        <w:tc>
          <w:tcPr>
            <w:tcW w:type="dxa" w:w="3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No – no backwardation</w:t>
            </w:r>
          </w:p>
        </w:tc>
      </w:tr>
      <w:tr>
        <w:trPr>
          <w:cantSplit/>
        </w:trPr>
        <w:tc>
          <w:tcPr>
            <w:tcW w:type="dxa" w:w="9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bCs/>
                <w:sz w:val="19"/>
                <w:szCs w:val="19"/>
              </w:rPr>
              <w:t xml:space="preserve">2022</w:t>
            </w:r>
          </w:p>
        </w:tc>
        <w:tc>
          <w:tcPr>
            <w:tcW w:type="dxa" w:w="155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+8.40¢</w:t>
            </w:r>
          </w:p>
        </w:tc>
        <w:tc>
          <w:tcPr>
            <w:tcW w:type="dxa" w:w="155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−2.90¢</w:t>
            </w:r>
          </w:p>
        </w:tc>
        <w:tc>
          <w:tcPr>
            <w:tcW w:type="dxa" w:w="13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−11.30¢</w:t>
            </w:r>
          </w:p>
        </w:tc>
        <w:tc>
          <w:tcPr>
            <w:tcW w:type="dxa" w:w="3726"/>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Yes – both targets hit (26 Oct, 14 Nov)</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2023</w:t>
            </w:r>
          </w:p>
        </w:tc>
        <w:tc>
          <w:tcPr>
            <w:tcW w:type="dxa" w:w="15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−1.00¢</w:t>
            </w:r>
          </w:p>
        </w:tc>
        <w:tc>
          <w:tcPr>
            <w:tcW w:type="dxa" w:w="15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+8.00¢</w:t>
            </w:r>
          </w:p>
        </w:tc>
        <w:tc>
          <w:tcPr>
            <w:tcW w:type="dxa" w:w="1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+9.00¢</w:t>
            </w:r>
          </w:p>
        </w:tc>
        <w:tc>
          <w:tcPr>
            <w:tcW w:type="dxa" w:w="3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No – no backwardation</w:t>
            </w:r>
          </w:p>
        </w:tc>
      </w:tr>
      <w:tr>
        <w:trPr>
          <w:cantSplit/>
        </w:trPr>
        <w:tc>
          <w:tcPr>
            <w:tcW w:type="dxa" w:w="9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2024</w:t>
            </w:r>
          </w:p>
        </w:tc>
        <w:tc>
          <w:tcPr>
            <w:tcW w:type="dxa" w:w="15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+2.00¢</w:t>
            </w:r>
          </w:p>
        </w:tc>
        <w:tc>
          <w:tcPr>
            <w:tcW w:type="dxa" w:w="155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+2.80¢</w:t>
            </w:r>
          </w:p>
        </w:tc>
        <w:tc>
          <w:tcPr>
            <w:tcW w:type="dxa" w:w="1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+0.80¢</w:t>
            </w:r>
          </w:p>
        </w:tc>
        <w:tc>
          <w:tcPr>
            <w:tcW w:type="dxa" w:w="37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No – spread too small</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2025</w:t>
            </w:r>
          </w:p>
        </w:tc>
        <w:tc>
          <w:tcPr>
            <w:tcW w:type="dxa" w:w="15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+15.85¢</w:t>
            </w:r>
          </w:p>
        </w:tc>
        <w:tc>
          <w:tcPr>
            <w:tcW w:type="dxa" w:w="155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+29.65¢</w:t>
            </w:r>
          </w:p>
        </w:tc>
        <w:tc>
          <w:tcPr>
            <w:tcW w:type="dxa" w:w="1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+13.80¢</w:t>
            </w:r>
          </w:p>
        </w:tc>
        <w:tc>
          <w:tcPr>
            <w:tcW w:type="dxa" w:w="3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No – far above entry zone, stocks falling</w:t>
            </w:r>
          </w:p>
        </w:tc>
      </w:tr>
      <w:tr>
        <w:trPr>
          <w:cantSplit/>
        </w:trPr>
        <w:tc>
          <w:tcPr>
            <w:tcW w:type="dxa" w:w="9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bCs/>
                <w:sz w:val="19"/>
                <w:szCs w:val="19"/>
              </w:rPr>
              <w:t xml:space="preserve">2026</w:t>
            </w:r>
          </w:p>
        </w:tc>
        <w:tc>
          <w:tcPr>
            <w:tcW w:type="dxa" w:w="155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+8.65¢</w:t>
            </w:r>
          </w:p>
        </w:tc>
        <w:tc>
          <w:tcPr>
            <w:tcW w:type="dxa" w:w="155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w:t>
            </w:r>
          </w:p>
        </w:tc>
        <w:tc>
          <w:tcPr>
            <w:tcW w:type="dxa" w:w="13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w:t>
            </w:r>
          </w:p>
        </w:tc>
        <w:tc>
          <w:tcPr>
            <w:tcW w:type="dxa" w:w="3726"/>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Yes – in the entry zone (8.25¢ on 2 Oct)</w:t>
            </w:r>
          </w:p>
        </w:tc>
      </w:tr>
    </w:tbl>
    <w:p>
      <w:pPr>
        <w:spacing w:after="100"/>
      </w:pPr>
    </w:p>
    <w:p>
      <w:pPr>
        <w:spacing w:after="120" w:before="0" w:line="300"/>
      </w:pPr>
      <w:r>
        <w:rPr>
          <w:rFonts w:ascii="Arial" w:cs="Arial" w:eastAsia="Arial" w:hAnsi="Arial"/>
          <w:sz w:val="21"/>
          <w:szCs w:val="21"/>
        </w:rPr>
        <w:t xml:space="preserve">Read the table this way: the December premium does </w:t>
      </w:r>
      <w:r>
        <w:rPr>
          <w:rFonts w:ascii="Arial" w:cs="Arial" w:eastAsia="Arial" w:hAnsi="Arial"/>
          <w:b/>
          <w:bCs/>
          <w:sz w:val="21"/>
          <w:szCs w:val="21"/>
        </w:rPr>
        <w:t xml:space="preserve">not</w:t>
      </w:r>
      <w:r>
        <w:rPr>
          <w:rFonts w:ascii="Arial" w:cs="Arial" w:eastAsia="Arial" w:hAnsi="Arial"/>
          <w:sz w:val="21"/>
          <w:szCs w:val="21"/>
        </w:rPr>
        <w:t xml:space="preserve"> usually collapse on its own. It collapsed in the one year when new deliverable supply was clearly coming. In the years when it was not (2023, 2025) the premium grew, and fast. This plan bets that 2026 is a 2022 year, and it watches the stock report every day to check.</w:t>
      </w:r>
    </w:p>
    <w:p>
      <w:pPr>
        <w:pStyle w:val="Heading1"/>
        <w:keepNext/>
        <w:spacing w:after="140" w:before="280"/>
      </w:pPr>
      <w:r>
        <w:rPr>
          <w:rFonts w:ascii="Arial" w:cs="Arial" w:eastAsia="Arial" w:hAnsi="Arial"/>
          <w:b/>
          <w:bCs/>
          <w:color w:val="1F3A5F"/>
          <w:sz w:val="32"/>
          <w:szCs w:val="32"/>
        </w:rPr>
        <w:t xml:space="preserve">6. How to trade it</w:t>
      </w:r>
    </w:p>
    <w:p>
      <w:pPr>
        <w:pStyle w:val="Heading2"/>
        <w:keepNext/>
        <w:spacing w:after="100" w:before="220"/>
      </w:pPr>
      <w:r>
        <w:rPr>
          <w:rFonts w:ascii="Arial" w:cs="Arial" w:eastAsia="Arial" w:hAnsi="Arial"/>
          <w:b/>
          <w:bCs/>
          <w:color w:val="1F3A5F"/>
          <w:sz w:val="25"/>
          <w:szCs w:val="25"/>
        </w:rPr>
        <w:t xml:space="preserve">Levels and money, per spread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00"/>
        <w:gridCol w:w="2500"/>
        <w:gridCol w:w="2926"/>
      </w:tblGrid>
      <w:tr>
        <w:trPr>
          <w:tblHeader/>
        </w:trPr>
        <w:tc>
          <w:tcPr>
            <w:tcW w:type="dxa" w:w="23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Level</w:t>
            </w:r>
          </w:p>
        </w:tc>
        <w:tc>
          <w:tcPr>
            <w:tcW w:type="dxa" w:w="13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Spread</w:t>
            </w:r>
          </w:p>
        </w:tc>
        <w:tc>
          <w:tcPr>
            <w:tcW w:type="dxa" w:w="25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Move from 8.25¢</w:t>
            </w:r>
          </w:p>
        </w:tc>
        <w:tc>
          <w:tcPr>
            <w:tcW w:type="dxa" w:w="29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Profit / loss per spread</w:t>
            </w:r>
          </w:p>
        </w:tc>
      </w:tr>
      <w:tr>
        <w:trPr>
          <w:cantSplit/>
        </w:trPr>
        <w:tc>
          <w:tcPr>
            <w:tcW w:type="dxa" w:w="2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Entry (now)</w:t>
            </w:r>
          </w:p>
        </w:tc>
        <w:tc>
          <w:tcPr>
            <w:tcW w:type="dxa" w:w="1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8.25¢</w:t>
            </w:r>
          </w:p>
        </w:tc>
        <w:tc>
          <w:tcPr>
            <w:tcW w:type="dxa" w:w="25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w:t>
            </w:r>
          </w:p>
        </w:tc>
        <w:tc>
          <w:tcPr>
            <w:tcW w:type="dxa" w:w="29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jc w:val="right"/>
            </w:pPr>
            <w:r>
              <w:rPr>
                <w:rFonts w:ascii="Arial" w:cs="Arial" w:eastAsia="Arial" w:hAnsi="Arial"/>
                <w:sz w:val="19"/>
                <w:szCs w:val="19"/>
              </w:rPr>
              <w:t xml:space="preserve">–</w:t>
            </w:r>
          </w:p>
        </w:tc>
      </w:tr>
      <w:tr>
        <w:trPr>
          <w:cantSplit/>
        </w:trPr>
        <w:tc>
          <w:tcPr>
            <w:tcW w:type="dxa" w:w="2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Stop – exit all</w:t>
            </w:r>
          </w:p>
        </w:tc>
        <w:tc>
          <w:tcPr>
            <w:tcW w:type="dxa" w:w="1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10.50¢</w:t>
            </w:r>
          </w:p>
        </w:tc>
        <w:tc>
          <w:tcPr>
            <w:tcW w:type="dxa" w:w="25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+2.25¢ against us</w:t>
            </w:r>
          </w:p>
        </w:tc>
        <w:tc>
          <w:tcPr>
            <w:tcW w:type="dxa" w:w="29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jc w:val="right"/>
            </w:pPr>
            <w:r>
              <w:rPr>
                <w:rFonts w:ascii="Arial" w:cs="Arial" w:eastAsia="Arial" w:hAnsi="Arial"/>
                <w:sz w:val="19"/>
                <w:szCs w:val="19"/>
              </w:rPr>
              <w:t xml:space="preserve">−$844</w:t>
            </w:r>
          </w:p>
        </w:tc>
      </w:tr>
      <w:tr>
        <w:trPr>
          <w:cantSplit/>
        </w:trPr>
        <w:tc>
          <w:tcPr>
            <w:tcW w:type="dxa" w:w="2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Target 1 – exit half</w:t>
            </w:r>
          </w:p>
        </w:tc>
        <w:tc>
          <w:tcPr>
            <w:tcW w:type="dxa" w:w="1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2.50¢</w:t>
            </w:r>
          </w:p>
        </w:tc>
        <w:tc>
          <w:tcPr>
            <w:tcW w:type="dxa" w:w="25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5.75¢ in our favour</w:t>
            </w:r>
          </w:p>
        </w:tc>
        <w:tc>
          <w:tcPr>
            <w:tcW w:type="dxa" w:w="29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jc w:val="right"/>
            </w:pPr>
            <w:r>
              <w:rPr>
                <w:rFonts w:ascii="Arial" w:cs="Arial" w:eastAsia="Arial" w:hAnsi="Arial"/>
                <w:sz w:val="19"/>
                <w:szCs w:val="19"/>
              </w:rPr>
              <w:t xml:space="preserve">+$2,156</w:t>
            </w:r>
          </w:p>
        </w:tc>
      </w:tr>
      <w:tr>
        <w:trPr>
          <w:cantSplit/>
        </w:trPr>
        <w:tc>
          <w:tcPr>
            <w:tcW w:type="dxa" w:w="2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Target 2 – exit rest</w:t>
            </w:r>
          </w:p>
        </w:tc>
        <w:tc>
          <w:tcPr>
            <w:tcW w:type="dxa" w:w="1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0.00¢</w:t>
            </w:r>
          </w:p>
        </w:tc>
        <w:tc>
          <w:tcPr>
            <w:tcW w:type="dxa" w:w="25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8.25¢ in our favour</w:t>
            </w:r>
          </w:p>
        </w:tc>
        <w:tc>
          <w:tcPr>
            <w:tcW w:type="dxa" w:w="29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jc w:val="right"/>
            </w:pPr>
            <w:r>
              <w:rPr>
                <w:rFonts w:ascii="Arial" w:cs="Arial" w:eastAsia="Arial" w:hAnsi="Arial"/>
                <w:sz w:val="19"/>
                <w:szCs w:val="19"/>
              </w:rPr>
              <w:t xml:space="preserve">+$3,094</w:t>
            </w:r>
          </w:p>
        </w:tc>
      </w:tr>
      <w:tr>
        <w:trPr>
          <w:cantSplit/>
        </w:trPr>
        <w:tc>
          <w:tcPr>
            <w:tcW w:type="dxa" w:w="2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Both targets hit (average)</w:t>
            </w:r>
          </w:p>
        </w:tc>
        <w:tc>
          <w:tcPr>
            <w:tcW w:type="dxa" w:w="1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w:t>
            </w:r>
          </w:p>
        </w:tc>
        <w:tc>
          <w:tcPr>
            <w:tcW w:type="dxa" w:w="25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7.00¢ in our favour</w:t>
            </w:r>
          </w:p>
        </w:tc>
        <w:tc>
          <w:tcPr>
            <w:tcW w:type="dxa" w:w="29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jc w:val="right"/>
            </w:pPr>
            <w:r>
              <w:rPr>
                <w:rFonts w:ascii="Arial" w:cs="Arial" w:eastAsia="Arial" w:hAnsi="Arial"/>
                <w:sz w:val="19"/>
                <w:szCs w:val="19"/>
              </w:rPr>
              <w:t xml:space="preserve">+$2,625</w:t>
            </w:r>
          </w:p>
        </w:tc>
      </w:tr>
      <w:tr>
        <w:trPr>
          <w:cantSplit/>
        </w:trPr>
        <w:tc>
          <w:tcPr>
            <w:tcW w:type="dxa" w:w="2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Round-trip costs (est.)</w:t>
            </w:r>
          </w:p>
        </w:tc>
        <w:tc>
          <w:tcPr>
            <w:tcW w:type="dxa" w:w="1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w:t>
            </w:r>
          </w:p>
        </w:tc>
        <w:tc>
          <w:tcPr>
            <w:tcW w:type="dxa" w:w="25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1 tick + $2.50 per leg per side</w:t>
            </w:r>
          </w:p>
        </w:tc>
        <w:tc>
          <w:tcPr>
            <w:tcW w:type="dxa" w:w="29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jc w:val="right"/>
            </w:pPr>
            <w:r>
              <w:rPr>
                <w:rFonts w:ascii="Arial" w:cs="Arial" w:eastAsia="Arial" w:hAnsi="Arial"/>
                <w:sz w:val="19"/>
                <w:szCs w:val="19"/>
              </w:rPr>
              <w:t xml:space="preserve">about −$85</w:t>
            </w:r>
          </w:p>
        </w:tc>
      </w:tr>
    </w:tbl>
    <w:p>
      <w:pPr>
        <w:spacing w:after="80"/>
      </w:pPr>
    </w:p>
    <w:p>
      <w:pPr>
        <w:spacing w:after="120" w:before="0" w:line="300"/>
      </w:pPr>
      <w:r>
        <w:rPr>
          <w:rFonts w:ascii="Arial" w:cs="Arial" w:eastAsia="Arial" w:hAnsi="Arial"/>
          <w:sz w:val="21"/>
          <w:szCs w:val="21"/>
        </w:rPr>
        <w:t xml:space="preserve">Reward against risk is about </w:t>
      </w:r>
      <w:r>
        <w:rPr>
          <w:rFonts w:ascii="Arial" w:cs="Arial" w:eastAsia="Arial" w:hAnsi="Arial"/>
          <w:b/>
          <w:bCs/>
          <w:sz w:val="21"/>
          <w:szCs w:val="21"/>
        </w:rPr>
        <w:t xml:space="preserve">3 to 1</w:t>
      </w:r>
      <w:r>
        <w:rPr>
          <w:rFonts w:ascii="Arial" w:cs="Arial" w:eastAsia="Arial" w:hAnsi="Arial"/>
          <w:sz w:val="21"/>
          <w:szCs w:val="21"/>
        </w:rPr>
        <w:t xml:space="preserve"> if both targets are hit ($2,625 against $844). Exchange margin for a calendar spread is normally much lower than for an outright position; confirm the current requirement with your broker before trading.</w:t>
      </w:r>
    </w:p>
    <w:p>
      <w:pPr>
        <w:pStyle w:val="Heading2"/>
        <w:keepNext/>
        <w:spacing w:after="100" w:before="220"/>
      </w:pPr>
      <w:r>
        <w:rPr>
          <w:rFonts w:ascii="Arial" w:cs="Arial" w:eastAsia="Arial" w:hAnsi="Arial"/>
          <w:b/>
          <w:bCs/>
          <w:color w:val="1F3A5F"/>
          <w:sz w:val="25"/>
          <w:szCs w:val="25"/>
        </w:rPr>
        <w:t xml:space="preserve">Rules, in order</w:t>
      </w:r>
    </w:p>
    <w:p>
      <w:pPr>
        <w:pStyle w:val="ListParagraph"/>
        <w:numPr>
          <w:ilvl w:val="0"/>
          <w:numId w:val="3"/>
        </w:numPr>
        <w:spacing w:after="80" w:line="290"/>
      </w:pPr>
      <w:r>
        <w:rPr>
          <w:rFonts w:ascii="Arial" w:cs="Arial" w:eastAsia="Arial" w:hAnsi="Arial"/>
          <w:b/>
          <w:bCs/>
          <w:sz w:val="21"/>
          <w:szCs w:val="21"/>
        </w:rPr>
        <w:t xml:space="preserve">Enter </w:t>
      </w:r>
      <w:r>
        <w:rPr>
          <w:rFonts w:ascii="Arial" w:cs="Arial" w:eastAsia="Arial" w:hAnsi="Arial"/>
          <w:sz w:val="21"/>
          <w:szCs w:val="21"/>
        </w:rPr>
        <w:t xml:space="preserve">only between 8.00¢ and 8.50¢, as a spread order (both legs together). Scale in over two or three days if you like.</w:t>
      </w:r>
    </w:p>
    <w:p>
      <w:pPr>
        <w:pStyle w:val="ListParagraph"/>
        <w:numPr>
          <w:ilvl w:val="0"/>
          <w:numId w:val="3"/>
        </w:numPr>
        <w:spacing w:after="80" w:line="290"/>
      </w:pPr>
      <w:r>
        <w:rPr>
          <w:rFonts w:ascii="Arial" w:cs="Arial" w:eastAsia="Arial" w:hAnsi="Arial"/>
          <w:b/>
          <w:bCs/>
          <w:sz w:val="21"/>
          <w:szCs w:val="21"/>
        </w:rPr>
        <w:t xml:space="preserve">Check the ICE stock report every day. </w:t>
      </w:r>
      <w:r>
        <w:rPr>
          <w:rFonts w:ascii="Arial" w:cs="Arial" w:eastAsia="Arial" w:hAnsi="Arial"/>
          <w:sz w:val="21"/>
          <w:szCs w:val="21"/>
        </w:rPr>
        <w:t xml:space="preserve">It is published around 13:15–13:25 New York time. Exit on the supply stop (Section 7).</w:t>
      </w:r>
    </w:p>
    <w:p>
      <w:pPr>
        <w:pStyle w:val="ListParagraph"/>
        <w:numPr>
          <w:ilvl w:val="0"/>
          <w:numId w:val="3"/>
        </w:numPr>
        <w:spacing w:after="80" w:line="290"/>
      </w:pPr>
      <w:r>
        <w:rPr>
          <w:rFonts w:ascii="Arial" w:cs="Arial" w:eastAsia="Arial" w:hAnsi="Arial"/>
          <w:b/>
          <w:bCs/>
          <w:sz w:val="21"/>
          <w:szCs w:val="21"/>
        </w:rPr>
        <w:t xml:space="preserve">Exit everything </w:t>
      </w:r>
      <w:r>
        <w:rPr>
          <w:rFonts w:ascii="Arial" w:cs="Arial" w:eastAsia="Arial" w:hAnsi="Arial"/>
          <w:sz w:val="21"/>
          <w:szCs w:val="21"/>
        </w:rPr>
        <w:t xml:space="preserve">if the spread settles above 10.50¢. No exceptions, no widening.</w:t>
      </w:r>
    </w:p>
    <w:p>
      <w:pPr>
        <w:pStyle w:val="ListParagraph"/>
        <w:numPr>
          <w:ilvl w:val="0"/>
          <w:numId w:val="3"/>
        </w:numPr>
        <w:spacing w:after="80" w:line="290"/>
      </w:pPr>
      <w:r>
        <w:rPr>
          <w:rFonts w:ascii="Arial" w:cs="Arial" w:eastAsia="Arial" w:hAnsi="Arial"/>
          <w:b/>
          <w:bCs/>
          <w:sz w:val="21"/>
          <w:szCs w:val="21"/>
        </w:rPr>
        <w:t xml:space="preserve">Take half </w:t>
      </w:r>
      <w:r>
        <w:rPr>
          <w:rFonts w:ascii="Arial" w:cs="Arial" w:eastAsia="Arial" w:hAnsi="Arial"/>
          <w:sz w:val="21"/>
          <w:szCs w:val="21"/>
        </w:rPr>
        <w:t xml:space="preserve">at 2.50¢ and the rest at 0.00¢.</w:t>
      </w:r>
    </w:p>
    <w:p>
      <w:pPr>
        <w:pStyle w:val="ListParagraph"/>
        <w:numPr>
          <w:ilvl w:val="0"/>
          <w:numId w:val="3"/>
        </w:numPr>
        <w:spacing w:after="80" w:line="290"/>
      </w:pPr>
      <w:r>
        <w:rPr>
          <w:rFonts w:ascii="Arial" w:cs="Arial" w:eastAsia="Arial" w:hAnsi="Arial"/>
          <w:b/>
          <w:bCs/>
          <w:sz w:val="21"/>
          <w:szCs w:val="21"/>
        </w:rPr>
        <w:t xml:space="preserve">Time check on 6 November: </w:t>
      </w:r>
      <w:r>
        <w:rPr>
          <w:rFonts w:ascii="Arial" w:cs="Arial" w:eastAsia="Arial" w:hAnsi="Arial"/>
          <w:sz w:val="21"/>
          <w:szCs w:val="21"/>
        </w:rPr>
        <w:t xml:space="preserve">if the spread is still above 7.00¢ when the index roll starts, close half – by the same week in 2022 the spread was already down to about 4¢.</w:t>
      </w:r>
    </w:p>
    <w:p>
      <w:pPr>
        <w:pStyle w:val="ListParagraph"/>
        <w:numPr>
          <w:ilvl w:val="0"/>
          <w:numId w:val="3"/>
        </w:numPr>
        <w:spacing w:after="80" w:line="290"/>
      </w:pPr>
      <w:r>
        <w:rPr>
          <w:rFonts w:ascii="Arial" w:cs="Arial" w:eastAsia="Arial" w:hAnsi="Arial"/>
          <w:b/>
          <w:bCs/>
          <w:sz w:val="21"/>
          <w:szCs w:val="21"/>
        </w:rPr>
        <w:t xml:space="preserve">Close all by 18 November. </w:t>
      </w:r>
      <w:r>
        <w:rPr>
          <w:rFonts w:ascii="Arial" w:cs="Arial" w:eastAsia="Arial" w:hAnsi="Arial"/>
          <w:sz w:val="21"/>
          <w:szCs w:val="21"/>
        </w:rPr>
        <w:t xml:space="preserve">Do not hold a short December position into first notice day on 19 November.</w:t>
      </w:r>
    </w:p>
    <w:p>
      <w:pPr>
        <w:pStyle w:val="Heading2"/>
        <w:keepNext/>
        <w:spacing w:after="100" w:before="220"/>
      </w:pPr>
      <w:r>
        <w:rPr>
          <w:rFonts w:ascii="Arial" w:cs="Arial" w:eastAsia="Arial" w:hAnsi="Arial"/>
          <w:b/>
          <w:bCs/>
          <w:color w:val="1F3A5F"/>
          <w:sz w:val="25"/>
          <w:szCs w:val="25"/>
        </w:rPr>
        <w:t xml:space="preserve">Key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300"/>
        <w:gridCol w:w="3726"/>
      </w:tblGrid>
      <w:tr>
        <w:trPr>
          <w:tblHeader/>
        </w:trPr>
        <w:tc>
          <w:tcPr>
            <w:tcW w:type="dxa" w:w="20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Date</w:t>
            </w:r>
          </w:p>
        </w:tc>
        <w:tc>
          <w:tcPr>
            <w:tcW w:type="dxa" w:w="33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Event</w:t>
            </w:r>
          </w:p>
        </w:tc>
        <w:tc>
          <w:tcPr>
            <w:tcW w:type="dxa" w:w="37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Why it matters</w:t>
            </w:r>
          </w:p>
        </w:tc>
      </w:tr>
      <w:tr>
        <w:trPr>
          <w:cantSplit/>
        </w:trPr>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Every trading day</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ICE certified stock report</w:t>
            </w:r>
          </w:p>
        </w:tc>
        <w:tc>
          <w:tcPr>
            <w:tcW w:type="dxa" w:w="3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Confirms or breaks the supply thesis</w:t>
            </w:r>
          </w:p>
        </w:tc>
      </w:tr>
      <w:tr>
        <w:trPr>
          <w:cantSplit/>
        </w:trPr>
        <w:tc>
          <w:tcPr>
            <w:tcW w:type="dxa" w:w="20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Every Friday</w:t>
            </w:r>
          </w:p>
        </w:tc>
        <w:tc>
          <w:tcPr>
            <w:tcW w:type="dxa" w:w="3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CFTC Commitments of Traders</w:t>
            </w:r>
          </w:p>
        </w:tc>
        <w:tc>
          <w:tcPr>
            <w:tcW w:type="dxa" w:w="37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Shows whether speculators are still long December</w:t>
            </w:r>
          </w:p>
        </w:tc>
      </w:tr>
      <w:tr>
        <w:trPr>
          <w:cantSplit/>
        </w:trPr>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6 – 13 Nov (approx.)</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Large commodity indices roll December into March</w:t>
            </w:r>
          </w:p>
        </w:tc>
        <w:tc>
          <w:tcPr>
            <w:tcW w:type="dxa" w:w="3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Index funds sell December and buy March – pushes the spread down</w:t>
            </w:r>
          </w:p>
        </w:tc>
      </w:tr>
      <w:tr>
        <w:trPr>
          <w:cantSplit/>
        </w:trPr>
        <w:tc>
          <w:tcPr>
            <w:tcW w:type="dxa" w:w="20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18 Nov</w:t>
            </w:r>
          </w:p>
        </w:tc>
        <w:tc>
          <w:tcPr>
            <w:tcW w:type="dxa" w:w="3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Last day to hold this trade</w:t>
            </w:r>
          </w:p>
        </w:tc>
        <w:tc>
          <w:tcPr>
            <w:tcW w:type="dxa" w:w="37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Exit before notice period</w:t>
            </w:r>
          </w:p>
        </w:tc>
      </w:tr>
      <w:tr>
        <w:trPr>
          <w:cantSplit/>
        </w:trPr>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19 Nov</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First notice day, KCZ26</w:t>
            </w:r>
          </w:p>
        </w:tc>
        <w:tc>
          <w:tcPr>
            <w:tcW w:type="dxa" w:w="3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Delivery period starts</w:t>
            </w:r>
          </w:p>
        </w:tc>
      </w:tr>
      <w:tr>
        <w:trPr>
          <w:cantSplit/>
        </w:trPr>
        <w:tc>
          <w:tcPr>
            <w:tcW w:type="dxa" w:w="20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18 Dec</w:t>
            </w:r>
          </w:p>
        </w:tc>
        <w:tc>
          <w:tcPr>
            <w:tcW w:type="dxa" w:w="3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Last trading day, KCZ26</w:t>
            </w:r>
          </w:p>
        </w:tc>
        <w:tc>
          <w:tcPr>
            <w:tcW w:type="dxa" w:w="37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w:t>
            </w:r>
          </w:p>
        </w:tc>
      </w:tr>
    </w:tbl>
    <w:p>
      <w:pPr>
        <w:pStyle w:val="Heading1"/>
        <w:keepNext/>
        <w:spacing w:after="140" w:before="280"/>
      </w:pPr>
      <w:r>
        <w:rPr>
          <w:rFonts w:ascii="Arial" w:cs="Arial" w:eastAsia="Arial" w:hAnsi="Arial"/>
          <w:b/>
          <w:bCs/>
          <w:color w:val="1F3A5F"/>
          <w:sz w:val="32"/>
          <w:szCs w:val="32"/>
        </w:rPr>
        <w:t xml:space="preserve">7. What would prove us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600"/>
        <w:gridCol w:w="2426"/>
      </w:tblGrid>
      <w:tr>
        <w:trPr>
          <w:tblHeader/>
        </w:trPr>
        <w:tc>
          <w:tcPr>
            <w:tcW w:type="dxa" w:w="30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Warning sign</w:t>
            </w:r>
          </w:p>
        </w:tc>
        <w:tc>
          <w:tcPr>
            <w:tcW w:type="dxa" w:w="36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Why it matters</w:t>
            </w:r>
          </w:p>
        </w:tc>
        <w:tc>
          <w:tcPr>
            <w:tcW w:type="dxa" w:w="24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Action</w:t>
            </w:r>
          </w:p>
        </w:tc>
      </w:tr>
      <w:tr>
        <w:trPr>
          <w:cantSplit/>
        </w:trPr>
        <w:tc>
          <w:tcPr>
            <w:tcW w:type="dxa" w:w="30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Spread settles above 10.50¢</w:t>
            </w:r>
          </w:p>
        </w:tc>
        <w:tc>
          <w:tcPr>
            <w:tcW w:type="dxa" w:w="36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Market is pricing a squeeze, as in 2025</w:t>
            </w:r>
          </w:p>
        </w:tc>
        <w:tc>
          <w:tcPr>
            <w:tcW w:type="dxa" w:w="2426"/>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Exit all</w:t>
            </w:r>
          </w:p>
        </w:tc>
      </w:tr>
      <w:tr>
        <w:trPr>
          <w:cantSplit/>
        </w:trPr>
        <w:tc>
          <w:tcPr>
            <w:tcW w:type="dxa" w:w="30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Certified stocks below 240,000 bags</w:t>
            </w:r>
          </w:p>
        </w:tc>
        <w:tc>
          <w:tcPr>
            <w:tcW w:type="dxa" w:w="36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Supply is draining again – back toward the September low</w:t>
            </w:r>
          </w:p>
        </w:tc>
        <w:tc>
          <w:tcPr>
            <w:tcW w:type="dxa" w:w="2426"/>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Exit all</w:t>
            </w:r>
          </w:p>
        </w:tc>
      </w:tr>
      <w:tr>
        <w:trPr>
          <w:cantSplit/>
        </w:trPr>
        <w:tc>
          <w:tcPr>
            <w:tcW w:type="dxa" w:w="30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Stocks fall 10 reports in a row while fewer than 5,000 bags wait for grading</w:t>
            </w:r>
          </w:p>
        </w:tc>
        <w:tc>
          <w:tcPr>
            <w:tcW w:type="dxa" w:w="3600"/>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This is what August 2026 looked like before the spread hit 14.80¢</w:t>
            </w:r>
          </w:p>
        </w:tc>
        <w:tc>
          <w:tcPr>
            <w:tcW w:type="dxa" w:w="2426"/>
            <w:tcBorders>
              <w:top w:val="single" w:color="C9D3E0" w:sz="4"/>
              <w:left w:val="single" w:color="C9D3E0" w:sz="4"/>
              <w:bottom w:val="single" w:color="C9D3E0" w:sz="4"/>
              <w:right w:val="single" w:color="C9D3E0" w:sz="4"/>
            </w:tcBorders>
            <w:shd w:fill="FDF3E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Exit all</w:t>
            </w:r>
          </w:p>
        </w:tc>
      </w:tr>
      <w:tr>
        <w:trPr>
          <w:cantSplit/>
        </w:trPr>
        <w:tc>
          <w:tcPr>
            <w:tcW w:type="dxa" w:w="30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Large new grading queue (more than 30,000 bags)</w:t>
            </w:r>
          </w:p>
        </w:tc>
        <w:tc>
          <w:tcPr>
            <w:tcW w:type="dxa" w:w="36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More supply on the way – the 2022 pattern</w:t>
            </w:r>
          </w:p>
        </w:tc>
        <w:tc>
          <w:tcPr>
            <w:tcW w:type="dxa" w:w="24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Hold; supports the trade</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Spread above 7.00¢ on 6 Nov</w:t>
            </w:r>
          </w:p>
        </w:tc>
        <w:tc>
          <w:tcPr>
            <w:tcW w:type="dxa" w:w="36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The expected move is late</w:t>
            </w:r>
          </w:p>
        </w:tc>
        <w:tc>
          <w:tcPr>
            <w:tcW w:type="dxa" w:w="24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Close half</w:t>
            </w:r>
          </w:p>
        </w:tc>
      </w:tr>
      <w:tr>
        <w:trPr>
          <w:cantSplit/>
        </w:trPr>
        <w:tc>
          <w:tcPr>
            <w:tcW w:type="dxa" w:w="30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Brazil port, weather or logistics shock</w:t>
            </w:r>
          </w:p>
        </w:tc>
        <w:tc>
          <w:tcPr>
            <w:tcW w:type="dxa" w:w="36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Can stop shipments to Europe quickly</w:t>
            </w:r>
          </w:p>
        </w:tc>
        <w:tc>
          <w:tcPr>
            <w:tcW w:type="dxa" w:w="24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Review the same day</w:t>
            </w:r>
          </w:p>
        </w:tc>
      </w:tr>
    </w:tbl>
    <w:p>
      <w:pPr>
        <w:spacing w:after="100"/>
      </w:pPr>
    </w:p>
    <w:p>
      <w:pPr>
        <w:pStyle w:val="Heading2"/>
        <w:keepNext/>
        <w:spacing w:after="100" w:before="220"/>
      </w:pPr>
      <w:r>
        <w:rPr>
          <w:rFonts w:ascii="Arial" w:cs="Arial" w:eastAsia="Arial" w:hAnsi="Arial"/>
          <w:b/>
          <w:bCs/>
          <w:color w:val="1F3A5F"/>
          <w:sz w:val="25"/>
          <w:szCs w:val="25"/>
        </w:rPr>
        <w:t xml:space="preserve">Three ways this could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500"/>
        <w:gridCol w:w="1600"/>
        <w:gridCol w:w="1826"/>
      </w:tblGrid>
      <w:tr>
        <w:trPr>
          <w:tblHeader/>
        </w:trPr>
        <w:tc>
          <w:tcPr>
            <w:tcW w:type="dxa" w:w="21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Scenario</w:t>
            </w:r>
          </w:p>
        </w:tc>
        <w:tc>
          <w:tcPr>
            <w:tcW w:type="dxa" w:w="35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What we would see</w:t>
            </w:r>
          </w:p>
        </w:tc>
        <w:tc>
          <w:tcPr>
            <w:tcW w:type="dxa" w:w="16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Spread by 18 Nov</w:t>
            </w:r>
          </w:p>
        </w:tc>
        <w:tc>
          <w:tcPr>
            <w:tcW w:type="dxa" w:w="18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Per spread</w:t>
            </w:r>
          </w:p>
        </w:tc>
      </w:tr>
      <w:tr>
        <w:trPr>
          <w:cantSplit/>
        </w:trPr>
        <w:tc>
          <w:tcPr>
            <w:tcW w:type="dxa" w:w="21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Like 2022 (our base case)</w:t>
            </w:r>
          </w:p>
        </w:tc>
        <w:tc>
          <w:tcPr>
            <w:tcW w:type="dxa" w:w="35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Stocks hold above 250,000; some new grading; index roll in November</w:t>
            </w:r>
          </w:p>
        </w:tc>
        <w:tc>
          <w:tcPr>
            <w:tcW w:type="dxa" w:w="16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0¢ to 2.5¢</w:t>
            </w:r>
          </w:p>
        </w:tc>
        <w:tc>
          <w:tcPr>
            <w:tcW w:type="dxa" w:w="18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+$2,156 to +$3,094</w:t>
            </w:r>
          </w:p>
        </w:tc>
      </w:tr>
      <w:tr>
        <w:trPr>
          <w:cantSplit/>
        </w:trPr>
        <w:tc>
          <w:tcPr>
            <w:tcW w:type="dxa" w:w="21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Nothing happens</w:t>
            </w:r>
          </w:p>
        </w:tc>
        <w:tc>
          <w:tcPr>
            <w:tcW w:type="dxa" w:w="35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Stocks flat, no new queue; spread drifts</w:t>
            </w:r>
          </w:p>
        </w:tc>
        <w:tc>
          <w:tcPr>
            <w:tcW w:type="dxa" w:w="16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6¢ to 8¢</w:t>
            </w:r>
          </w:p>
        </w:tc>
        <w:tc>
          <w:tcPr>
            <w:tcW w:type="dxa" w:w="18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Small gain or loss; half closed on 6 Nov</w:t>
            </w:r>
          </w:p>
        </w:tc>
      </w:tr>
      <w:tr>
        <w:trPr>
          <w:cantSplit/>
        </w:trPr>
        <w:tc>
          <w:tcPr>
            <w:tcW w:type="dxa" w:w="21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Like 2023 / 2025</w:t>
            </w:r>
          </w:p>
        </w:tc>
        <w:tc>
          <w:tcPr>
            <w:tcW w:type="dxa" w:w="35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Stocks fall again, roasters take coffee out, no new supply</w:t>
            </w:r>
          </w:p>
        </w:tc>
        <w:tc>
          <w:tcPr>
            <w:tcW w:type="dxa" w:w="16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Above 10.50¢</w:t>
            </w:r>
          </w:p>
        </w:tc>
        <w:tc>
          <w:tcPr>
            <w:tcW w:type="dxa" w:w="18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−$844 (stop)</w:t>
            </w:r>
          </w:p>
        </w:tc>
      </w:tr>
    </w:tbl>
    <w:p>
      <w:r>
        <w:br w:type="page"/>
      </w:r>
    </w:p>
    <w:p>
      <w:pPr>
        <w:pStyle w:val="Heading1"/>
        <w:keepNext/>
        <w:spacing w:after="140" w:before="280"/>
      </w:pPr>
      <w:r>
        <w:rPr>
          <w:rFonts w:ascii="Arial" w:cs="Arial" w:eastAsia="Arial" w:hAnsi="Arial"/>
          <w:b/>
          <w:bCs/>
          <w:color w:val="1F3A5F"/>
          <w:sz w:val="32"/>
          <w:szCs w:val="32"/>
        </w:rPr>
        <w:t xml:space="preserve">8. Evidence and limits</w:t>
      </w:r>
    </w:p>
    <w:p>
      <w:pPr>
        <w:spacing w:after="120" w:before="0" w:line="300"/>
      </w:pPr>
      <w:r>
        <w:rPr>
          <w:rFonts w:ascii="Arial" w:cs="Arial" w:eastAsia="Arial" w:hAnsi="Arial"/>
          <w:sz w:val="21"/>
          <w:szCs w:val="21"/>
        </w:rPr>
        <w:t xml:space="preserve">We want this plan to stand up to questions, so here is everything we tested – including what did not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900"/>
        <w:gridCol w:w="3126"/>
      </w:tblGrid>
      <w:tr>
        <w:trPr>
          <w:tblHeader/>
        </w:trPr>
        <w:tc>
          <w:tcPr>
            <w:tcW w:type="dxa" w:w="30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Test</w:t>
            </w:r>
          </w:p>
        </w:tc>
        <w:tc>
          <w:tcPr>
            <w:tcW w:type="dxa" w:w="29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Result</w:t>
            </w:r>
          </w:p>
        </w:tc>
        <w:tc>
          <w:tcPr>
            <w:tcW w:type="dxa" w:w="31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What it tells us</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This plan's rules on Dec/Mar, 2019–2025</w:t>
            </w:r>
          </w:p>
        </w:tc>
        <w:tc>
          <w:tcPr>
            <w:tcW w:type="dxa" w:w="2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1 trade (2022): both targets hit</w:t>
            </w:r>
          </w:p>
        </w:tc>
        <w:tc>
          <w:tcPr>
            <w:tcW w:type="dxa" w:w="31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The setup is rare. One example, not a statistic.</w:t>
            </w:r>
          </w:p>
        </w:tc>
      </w:tr>
      <w:tr>
        <w:trPr>
          <w:cantSplit/>
        </w:trPr>
        <w:tc>
          <w:tcPr>
            <w:tcW w:type="dxa" w:w="30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Simpler rule: sell Dec/Mar on 1 Oct whenever backwardation is at least 4¢, 2019–2025</w:t>
            </w:r>
          </w:p>
        </w:tc>
        <w:tc>
          <w:tcPr>
            <w:tcW w:type="dxa" w:w="29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2 trades: 2022 +$2,395; 2025 −$2,293 (stopped out)</w:t>
            </w:r>
          </w:p>
        </w:tc>
        <w:tc>
          <w:tcPr>
            <w:tcW w:type="dxa" w:w="31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Without checking supply, the 2025 trade failed while stocks were falling.</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Bear spreads on every contract roll (H/K, K/N, N/U, U/Z, Z/H), 2022–2026</w:t>
            </w:r>
          </w:p>
        </w:tc>
        <w:tc>
          <w:tcPr>
            <w:tcW w:type="dxa" w:w="2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17 trades, 29% winners, net −$5,672</w:t>
            </w:r>
          </w:p>
        </w:tc>
        <w:tc>
          <w:tcPr>
            <w:tcW w:type="dxa" w:w="31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Selling backwardation blindly loses money. The supply condition is essential.</w:t>
            </w:r>
          </w:p>
        </w:tc>
      </w:tr>
      <w:tr>
        <w:trPr>
          <w:cantSplit/>
        </w:trPr>
        <w:tc>
          <w:tcPr>
            <w:tcW w:type="dxa" w:w="30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Systematic carry, trend and positioning signals, KC and RC, 2019–2026</w:t>
            </w:r>
          </w:p>
        </w:tc>
        <w:tc>
          <w:tcPr>
            <w:tcW w:type="dxa" w:w="29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No signal beat buy-and-hold after costs</w:t>
            </w:r>
          </w:p>
        </w:tc>
        <w:tc>
          <w:tcPr>
            <w:tcW w:type="dxa" w:w="31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There is no simple rule that wins on its own here.</w:t>
            </w:r>
          </w:p>
        </w:tc>
      </w:tr>
    </w:tbl>
    <w:p>
      <w:pPr>
        <w:spacing w:after="100"/>
      </w:pPr>
    </w:p>
    <w:p>
      <w:pPr>
        <w:spacing w:after="120" w:before="0" w:line="300"/>
      </w:pPr>
      <w:r>
        <w:rPr>
          <w:rFonts w:ascii="Arial" w:cs="Arial" w:eastAsia="Arial" w:hAnsi="Arial"/>
          <w:b/>
          <w:bCs/>
          <w:sz w:val="21"/>
          <w:szCs w:val="21"/>
        </w:rPr>
        <w:t xml:space="preserve">How we kept the numbers honest: </w:t>
      </w:r>
      <w:r>
        <w:rPr>
          <w:rFonts w:ascii="Arial" w:cs="Arial" w:eastAsia="Arial" w:hAnsi="Arial"/>
          <w:sz w:val="21"/>
          <w:szCs w:val="21"/>
        </w:rPr>
        <w:t xml:space="preserve">prices are official ICE settlements; every value is used only after it was published (the stock report from about 13:20 New York time; the spread from that day's settlement); costs of one tick per side plus $2.50 per contract are included; and every figure in this plan was rechecked against the source data.</w:t>
      </w:r>
    </w:p>
    <w:p>
      <w:pPr>
        <w:pStyle w:val="Heading2"/>
        <w:keepNext/>
        <w:spacing w:after="100" w:before="220"/>
      </w:pPr>
      <w:r>
        <w:rPr>
          <w:rFonts w:ascii="Arial" w:cs="Arial" w:eastAsia="Arial" w:hAnsi="Arial"/>
          <w:b/>
          <w:bCs/>
          <w:color w:val="1F3A5F"/>
          <w:sz w:val="25"/>
          <w:szCs w:val="25"/>
        </w:rPr>
        <w:t xml:space="preserve">Corrections to earlier drafts</w:t>
      </w:r>
    </w:p>
    <w:p>
      <w:pPr>
        <w:spacing w:after="120" w:before="0" w:line="300"/>
      </w:pPr>
      <w:r>
        <w:rPr>
          <w:rFonts w:ascii="Arial" w:cs="Arial" w:eastAsia="Arial" w:hAnsi="Arial"/>
          <w:sz w:val="21"/>
          <w:szCs w:val="21"/>
        </w:rPr>
        <w:t xml:space="preserve">Earlier internal notes contained some figures that did not match the source data. These are the corrected values used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600"/>
        <w:gridCol w:w="3726"/>
      </w:tblGrid>
      <w:tr>
        <w:trPr>
          <w:tblHeader/>
        </w:trPr>
        <w:tc>
          <w:tcPr>
            <w:tcW w:type="dxa" w:w="27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Item</w:t>
            </w:r>
          </w:p>
        </w:tc>
        <w:tc>
          <w:tcPr>
            <w:tcW w:type="dxa" w:w="26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Earlier note</w:t>
            </w:r>
          </w:p>
        </w:tc>
        <w:tc>
          <w:tcPr>
            <w:tcW w:type="dxa" w:w="37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Corrected</w:t>
            </w:r>
          </w:p>
        </w:tc>
      </w:tr>
      <w:tr>
        <w:trPr>
          <w:cantSplit/>
        </w:trPr>
        <w:tc>
          <w:tcPr>
            <w:tcW w:type="dxa" w:w="27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2022 spread at first notice day</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−3.80¢ (change −12.20¢)</w:t>
            </w:r>
          </w:p>
        </w:tc>
        <w:tc>
          <w:tcPr>
            <w:tcW w:type="dxa" w:w="3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−2.90¢ (change −11.30¢). −3.80¢ was the low on 18 Nov</w:t>
            </w:r>
          </w:p>
        </w:tc>
      </w:tr>
      <w:tr>
        <w:trPr>
          <w:cantSplit/>
        </w:trPr>
        <w:tc>
          <w:tcPr>
            <w:tcW w:type="dxa" w:w="27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2023 spread at first notice day</w:t>
            </w:r>
          </w:p>
        </w:tc>
        <w:tc>
          <w:tcPr>
            <w:tcW w:type="dxa" w:w="26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+6.75¢</w:t>
            </w:r>
          </w:p>
        </w:tc>
        <w:tc>
          <w:tcPr>
            <w:tcW w:type="dxa" w:w="37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+8.00¢ (change +9.00¢)</w:t>
            </w:r>
          </w:p>
        </w:tc>
      </w:tr>
      <w:tr>
        <w:trPr>
          <w:cantSplit/>
        </w:trPr>
        <w:tc>
          <w:tcPr>
            <w:tcW w:type="dxa" w:w="27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2025 spread at first notice day</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+29.85¢</w:t>
            </w:r>
          </w:p>
        </w:tc>
        <w:tc>
          <w:tcPr>
            <w:tcW w:type="dxa" w:w="3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+29.65¢ (change +13.80¢)</w:t>
            </w:r>
          </w:p>
        </w:tc>
      </w:tr>
      <w:tr>
        <w:trPr>
          <w:cantSplit/>
        </w:trPr>
        <w:tc>
          <w:tcPr>
            <w:tcW w:type="dxa" w:w="27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2022 stock situation</w:t>
            </w:r>
          </w:p>
        </w:tc>
        <w:tc>
          <w:tcPr>
            <w:tcW w:type="dxa" w:w="26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"Stocks were replenished"</w:t>
            </w:r>
          </w:p>
        </w:tc>
        <w:tc>
          <w:tcPr>
            <w:tcW w:type="dxa" w:w="37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Stocks were at a 23-year low; the grading queue was the signal</w:t>
            </w:r>
          </w:p>
        </w:tc>
      </w:tr>
      <w:tr>
        <w:trPr>
          <w:cantSplit/>
        </w:trPr>
        <w:tc>
          <w:tcPr>
            <w:tcW w:type="dxa" w:w="27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Origin of the 2026 queue</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"669,397 pending lot entries"</w:t>
            </w:r>
          </w:p>
        </w:tc>
        <w:tc>
          <w:tcPr>
            <w:tcW w:type="dxa" w:w="3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That double-counts days. Correct: 98.5% Brazilian, 100% at Antwerp on the peak day</w:t>
            </w:r>
          </w:p>
        </w:tc>
      </w:tr>
      <w:tr>
        <w:trPr>
          <w:cantSplit/>
        </w:trPr>
        <w:tc>
          <w:tcPr>
            <w:tcW w:type="dxa" w:w="27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"Queue is a 3–7 day leading indicator"</w:t>
            </w:r>
          </w:p>
        </w:tc>
        <w:tc>
          <w:tcPr>
            <w:tcW w:type="dxa" w:w="26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Stated as a rule</w:t>
            </w:r>
          </w:p>
        </w:tc>
        <w:tc>
          <w:tcPr>
            <w:tcW w:type="dxa" w:w="37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Seen once; the spread moved before the queue appeared</w:t>
            </w:r>
          </w:p>
        </w:tc>
      </w:tr>
      <w:tr>
        <w:trPr>
          <w:cantSplit/>
        </w:trPr>
        <w:tc>
          <w:tcPr>
            <w:tcW w:type="dxa" w:w="27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Spread margin</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"$500–$800"</w:t>
            </w:r>
          </w:p>
        </w:tc>
        <w:tc>
          <w:tcPr>
            <w:tcW w:type="dxa" w:w="37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Removed – check the current ICE requirement with your broker</w:t>
            </w:r>
          </w:p>
        </w:tc>
      </w:tr>
    </w:tbl>
    <w:p>
      <w:pPr>
        <w:pStyle w:val="Heading1"/>
        <w:keepNext/>
        <w:spacing w:after="140" w:before="280"/>
      </w:pPr>
      <w:r>
        <w:rPr>
          <w:rFonts w:ascii="Arial" w:cs="Arial" w:eastAsia="Arial" w:hAnsi="Arial"/>
          <w:b/>
          <w:bCs/>
          <w:color w:val="1F3A5F"/>
          <w:sz w:val="32"/>
          <w:szCs w:val="32"/>
        </w:rPr>
        <w:t xml:space="preserve">9. Other risks</w:t>
      </w:r>
    </w:p>
    <w:p>
      <w:pPr>
        <w:pStyle w:val="ListParagraph"/>
        <w:numPr>
          <w:ilvl w:val="0"/>
          <w:numId w:val="2"/>
        </w:numPr>
        <w:spacing w:after="80" w:line="290"/>
      </w:pPr>
      <w:r>
        <w:rPr>
          <w:rFonts w:ascii="Arial" w:cs="Arial" w:eastAsia="Arial" w:hAnsi="Arial"/>
          <w:b/>
          <w:bCs/>
          <w:sz w:val="21"/>
          <w:szCs w:val="21"/>
        </w:rPr>
        <w:t xml:space="preserve">Squeeze risk. </w:t>
      </w:r>
      <w:r>
        <w:rPr>
          <w:rFonts w:ascii="Arial" w:cs="Arial" w:eastAsia="Arial" w:hAnsi="Arial"/>
          <w:sz w:val="21"/>
          <w:szCs w:val="21"/>
        </w:rPr>
        <w:t xml:space="preserve">Stocks are historically very low. A sudden drop or large withdrawal by roasters can push the spread up fast, as in 2025.</w:t>
      </w:r>
    </w:p>
    <w:p>
      <w:pPr>
        <w:pStyle w:val="ListParagraph"/>
        <w:numPr>
          <w:ilvl w:val="0"/>
          <w:numId w:val="2"/>
        </w:numPr>
        <w:spacing w:after="80" w:line="290"/>
      </w:pPr>
      <w:r>
        <w:rPr>
          <w:rFonts w:ascii="Arial" w:cs="Arial" w:eastAsia="Arial" w:hAnsi="Arial"/>
          <w:b/>
          <w:bCs/>
          <w:sz w:val="21"/>
          <w:szCs w:val="21"/>
        </w:rPr>
        <w:t xml:space="preserve">Transition bags. </w:t>
      </w:r>
      <w:r>
        <w:rPr>
          <w:rFonts w:ascii="Arial" w:cs="Arial" w:eastAsia="Arial" w:hAnsi="Arial"/>
          <w:sz w:val="21"/>
          <w:szCs w:val="21"/>
        </w:rPr>
        <w:t xml:space="preserve">77.6% of certified stocks are "transition" bags that take a discount from 2027. This could make holders keener to deliver against December – which would help the trade – but the effect is not proven. Read the ICE notice.</w:t>
      </w:r>
    </w:p>
    <w:p>
      <w:pPr>
        <w:pStyle w:val="ListParagraph"/>
        <w:numPr>
          <w:ilvl w:val="0"/>
          <w:numId w:val="2"/>
        </w:numPr>
        <w:spacing w:after="80" w:line="290"/>
      </w:pPr>
      <w:r>
        <w:rPr>
          <w:rFonts w:ascii="Arial" w:cs="Arial" w:eastAsia="Arial" w:hAnsi="Arial"/>
          <w:b/>
          <w:bCs/>
          <w:sz w:val="21"/>
          <w:szCs w:val="21"/>
        </w:rPr>
        <w:t xml:space="preserve">Index roll timing. </w:t>
      </w:r>
      <w:r>
        <w:rPr>
          <w:rFonts w:ascii="Arial" w:cs="Arial" w:eastAsia="Arial" w:hAnsi="Arial"/>
          <w:sz w:val="21"/>
          <w:szCs w:val="21"/>
        </w:rPr>
        <w:t xml:space="preserve">The usual November roll window is an estimate based on published index schedules; exact days can differ.</w:t>
      </w:r>
    </w:p>
    <w:p>
      <w:pPr>
        <w:pStyle w:val="ListParagraph"/>
        <w:numPr>
          <w:ilvl w:val="0"/>
          <w:numId w:val="2"/>
        </w:numPr>
        <w:spacing w:after="80" w:line="290"/>
      </w:pPr>
      <w:r>
        <w:rPr>
          <w:rFonts w:ascii="Arial" w:cs="Arial" w:eastAsia="Arial" w:hAnsi="Arial"/>
          <w:b/>
          <w:bCs/>
          <w:sz w:val="21"/>
          <w:szCs w:val="21"/>
        </w:rPr>
        <w:t xml:space="preserve">Liquidity and gaps. </w:t>
      </w:r>
      <w:r>
        <w:rPr>
          <w:rFonts w:ascii="Arial" w:cs="Arial" w:eastAsia="Arial" w:hAnsi="Arial"/>
          <w:sz w:val="21"/>
          <w:szCs w:val="21"/>
        </w:rPr>
        <w:t xml:space="preserve">Spreads can jump on news. A stop on settlement can be filled worse than 10.50¢.</w:t>
      </w:r>
    </w:p>
    <w:p>
      <w:pPr>
        <w:pStyle w:val="ListParagraph"/>
        <w:numPr>
          <w:ilvl w:val="0"/>
          <w:numId w:val="2"/>
        </w:numPr>
        <w:spacing w:after="80" w:line="290"/>
      </w:pPr>
      <w:r>
        <w:rPr>
          <w:rFonts w:ascii="Arial" w:cs="Arial" w:eastAsia="Arial" w:hAnsi="Arial"/>
          <w:b/>
          <w:bCs/>
          <w:sz w:val="21"/>
          <w:szCs w:val="21"/>
        </w:rPr>
        <w:t xml:space="preserve">Small sample. </w:t>
      </w:r>
      <w:r>
        <w:rPr>
          <w:rFonts w:ascii="Arial" w:cs="Arial" w:eastAsia="Arial" w:hAnsi="Arial"/>
          <w:sz w:val="21"/>
          <w:szCs w:val="21"/>
        </w:rPr>
        <w:t xml:space="preserve">Seven years of history (2019–2025), one matching year. Size accordingly.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52514E" w:sz="18"/>
              <w:bottom w:val="none" w:color="FFFFFF" w:sz="0"/>
              <w:right w:val="none" w:color="FFFFFF" w:sz="0"/>
            </w:tcBorders>
            <w:shd w:fill="F6F6F4" w:color="auto" w:val="clear"/>
            <w:tcMar>
              <w:top w:type="dxa" w:w="140"/>
              <w:left w:type="dxa" w:w="220"/>
              <w:bottom w:type="dxa" w:w="120"/>
              <w:right w:type="dxa" w:w="200"/>
            </w:tcMar>
          </w:tcPr>
          <w:p>
            <w:pPr>
              <w:spacing w:after="80"/>
            </w:pPr>
            <w:r>
              <w:rPr>
                <w:rFonts w:ascii="Arial" w:cs="Arial" w:eastAsia="Arial" w:hAnsi="Arial"/>
                <w:b/>
                <w:bCs/>
                <w:color w:val="1F3A5F"/>
                <w:sz w:val="22"/>
                <w:szCs w:val="22"/>
              </w:rPr>
              <w:t xml:space="preserve">Important</w:t>
            </w:r>
          </w:p>
          <w:p>
            <w:pPr>
              <w:spacing w:after="70" w:line="280"/>
            </w:pPr>
            <w:r>
              <w:rPr>
                <w:rFonts w:ascii="Arial" w:cs="Arial" w:eastAsia="Arial" w:hAnsi="Arial"/>
                <w:sz w:val="21"/>
                <w:szCs w:val="21"/>
              </w:rPr>
              <w:t xml:space="preserve">This document is research for discussion. It is not investment advice or an offer to trade. Futures and spreads involve substantial risk of loss. Past patterns, including 2022, may not repeat. Each reader is responsible for their own trading decisions and position size.</w:t>
            </w:r>
          </w:p>
          <w:p>
            <w:pPr>
              <w:spacing w:after="0"/>
            </w:pPr>
            <w:r>
              <w:rPr>
                <w:rFonts w:ascii="Arial" w:cs="Arial" w:eastAsia="Arial" w:hAnsi="Arial"/>
                <w:b/>
                <w:bCs/>
                <w:sz w:val="21"/>
                <w:szCs w:val="21"/>
              </w:rPr>
              <w:t xml:space="preserve">Status: draft – it must be reviewed by Finance before it is distributed outside the research team.</w:t>
            </w:r>
          </w:p>
        </w:tc>
      </w:tr>
    </w:tbl>
    <w:p>
      <w:pPr>
        <w:pStyle w:val="Heading1"/>
        <w:keepNext/>
        <w:spacing w:after="140" w:before="280"/>
      </w:pPr>
      <w:r>
        <w:rPr>
          <w:rFonts w:ascii="Arial" w:cs="Arial" w:eastAsia="Arial" w:hAnsi="Arial"/>
          <w:b/>
          <w:bCs/>
          <w:color w:val="1F3A5F"/>
          <w:sz w:val="32"/>
          <w:szCs w:val="32"/>
        </w:rPr>
        <w:t xml:space="preserve">Appendix –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300"/>
        <w:gridCol w:w="1826"/>
      </w:tblGrid>
      <w:tr>
        <w:trPr>
          <w:tblHeader/>
        </w:trPr>
        <w:tc>
          <w:tcPr>
            <w:tcW w:type="dxa" w:w="29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Data</w:t>
            </w:r>
          </w:p>
        </w:tc>
        <w:tc>
          <w:tcPr>
            <w:tcW w:type="dxa" w:w="4300"/>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Source</w:t>
            </w:r>
          </w:p>
        </w:tc>
        <w:tc>
          <w:tcPr>
            <w:tcW w:type="dxa" w:w="1826"/>
            <w:tcBorders>
              <w:top w:val="single" w:color="C9D3E0" w:sz="4"/>
              <w:left w:val="single" w:color="C9D3E0" w:sz="4"/>
              <w:bottom w:val="single" w:color="C9D3E0" w:sz="4"/>
              <w:right w:val="single" w:color="C9D3E0" w:sz="4"/>
            </w:tcBorders>
            <w:shd w:fill="DCE6F2" w:color="auto" w:val="clear"/>
            <w:tcMar>
              <w:top w:type="dxa" w:w="70"/>
              <w:left w:type="dxa" w:w="110"/>
              <w:bottom w:type="dxa" w:w="70"/>
              <w:right w:type="dxa" w:w="110"/>
            </w:tcMar>
          </w:tcPr>
          <w:p>
            <w:pPr>
              <w:spacing w:after="40" w:line="260"/>
            </w:pPr>
            <w:r>
              <w:rPr>
                <w:rFonts w:ascii="Arial" w:cs="Arial" w:eastAsia="Arial" w:hAnsi="Arial"/>
                <w:b/>
                <w:bCs/>
                <w:color w:val="1F3A5F"/>
                <w:sz w:val="19"/>
                <w:szCs w:val="19"/>
              </w:rPr>
              <w:t xml:space="preserve">Period</w:t>
            </w:r>
          </w:p>
        </w:tc>
      </w:tr>
      <w:tr>
        <w:trPr>
          <w:cantSplit/>
        </w:trPr>
        <w:tc>
          <w:tcPr>
            <w:tcW w:type="dxa" w:w="2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Coffee "C" settlement prices, all contract months</w:t>
            </w:r>
          </w:p>
        </w:tc>
        <w:tc>
          <w:tcPr>
            <w:tcW w:type="dxa" w:w="4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ICE Futures U.S., via Databento (end-of-day statistics)</w:t>
            </w:r>
          </w:p>
        </w:tc>
        <w:tc>
          <w:tcPr>
            <w:tcW w:type="dxa" w:w="18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Jan 2019 – 2 Oct 2026</w:t>
            </w:r>
          </w:p>
        </w:tc>
      </w:tr>
      <w:tr>
        <w:trPr>
          <w:cantSplit/>
        </w:trPr>
        <w:tc>
          <w:tcPr>
            <w:tcW w:type="dxa" w:w="29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Certified stocks, grading, pending bags</w:t>
            </w:r>
          </w:p>
        </w:tc>
        <w:tc>
          <w:tcPr>
            <w:tcW w:type="dxa" w:w="4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ICE Coffee "C" Certified Warehouse Stock Report (daily .xls)</w:t>
            </w:r>
          </w:p>
        </w:tc>
        <w:tc>
          <w:tcPr>
            <w:tcW w:type="dxa" w:w="18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5 Aug – 2 Oct 2026 (42 reports)</w:t>
            </w:r>
          </w:p>
        </w:tc>
      </w:tr>
      <w:tr>
        <w:trPr>
          <w:cantSplit/>
        </w:trPr>
        <w:tc>
          <w:tcPr>
            <w:tcW w:type="dxa" w:w="29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2022 stock situation</w:t>
            </w:r>
          </w:p>
        </w:tc>
        <w:tc>
          <w:tcPr>
            <w:tcW w:type="dxa" w:w="4300"/>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Reuters, "Arabica coffee heads to ICE warehouses, putting pressure on prices", 4 Nov 2022</w:t>
            </w:r>
          </w:p>
        </w:tc>
        <w:tc>
          <w:tcPr>
            <w:tcW w:type="dxa" w:w="1826"/>
            <w:tcBorders>
              <w:top w:val="single" w:color="C9D3E0" w:sz="4"/>
              <w:left w:val="single" w:color="C9D3E0" w:sz="4"/>
              <w:bottom w:val="single" w:color="C9D3E0" w:sz="4"/>
              <w:right w:val="single" w:color="C9D3E0" w:sz="4"/>
            </w:tcBorders>
            <w:tcMar>
              <w:top w:type="dxa" w:w="70"/>
              <w:left w:type="dxa" w:w="110"/>
              <w:bottom w:type="dxa" w:w="70"/>
              <w:right w:type="dxa" w:w="110"/>
            </w:tcMar>
          </w:tcPr>
          <w:p>
            <w:pPr>
              <w:spacing w:after="40" w:line="260"/>
            </w:pPr>
            <w:r>
              <w:rPr>
                <w:rFonts w:ascii="Arial" w:cs="Arial" w:eastAsia="Arial" w:hAnsi="Arial"/>
                <w:sz w:val="19"/>
                <w:szCs w:val="19"/>
              </w:rPr>
              <w:t xml:space="preserve">–</w:t>
            </w:r>
          </w:p>
        </w:tc>
      </w:tr>
      <w:tr>
        <w:trPr>
          <w:cantSplit/>
        </w:trPr>
        <w:tc>
          <w:tcPr>
            <w:tcW w:type="dxa" w:w="29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Contract dates</w:t>
            </w:r>
          </w:p>
        </w:tc>
        <w:tc>
          <w:tcPr>
            <w:tcW w:type="dxa" w:w="4300"/>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ICE Coffee "C" rules: FND = 7 business days before the first business day of the delivery month</w:t>
            </w:r>
          </w:p>
        </w:tc>
        <w:tc>
          <w:tcPr>
            <w:tcW w:type="dxa" w:w="1826"/>
            <w:tcBorders>
              <w:top w:val="single" w:color="C9D3E0" w:sz="4"/>
              <w:left w:val="single" w:color="C9D3E0" w:sz="4"/>
              <w:bottom w:val="single" w:color="C9D3E0" w:sz="4"/>
              <w:right w:val="single" w:color="C9D3E0" w:sz="4"/>
            </w:tcBorders>
            <w:shd w:fill="F7F9FC" w:color="auto" w:val="clear"/>
            <w:tcMar>
              <w:top w:type="dxa" w:w="70"/>
              <w:left w:type="dxa" w:w="110"/>
              <w:bottom w:type="dxa" w:w="70"/>
              <w:right w:type="dxa" w:w="110"/>
            </w:tcMar>
          </w:tcPr>
          <w:p>
            <w:pPr>
              <w:spacing w:after="40" w:line="260"/>
            </w:pPr>
            <w:r>
              <w:rPr>
                <w:rFonts w:ascii="Arial" w:cs="Arial" w:eastAsia="Arial" w:hAnsi="Arial"/>
                <w:sz w:val="19"/>
                <w:szCs w:val="19"/>
              </w:rPr>
              <w:t xml:space="preserve">–</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14E"/>
        <w:sz w:val="16"/>
        <w:szCs w:val="16"/>
      </w:rPr>
      <w:t xml:space="preserve">Draft for Finance review – not investment advice   |   Page </w:t>
    </w:r>
    <w:r>
      <w:rPr>
        <w:rFonts w:ascii="Arial" w:cs="Arial" w:eastAsia="Arial" w:hAnsi="Arial"/>
        <w:color w:val="52514E"/>
        <w:sz w:val="16"/>
        <w:szCs w:val="16"/>
      </w:rPr>
      <w:fldChar w:fldCharType="begin"/>
      <w:instrText xml:space="preserve">PAGE</w:instrText>
      <w:fldChar w:fldCharType="separate"/>
      <w:fldChar w:fldCharType="end"/>
    </w:r>
    <w:r>
      <w:rPr>
        <w:rFonts w:ascii="Arial" w:cs="Arial" w:eastAsia="Arial" w:hAnsi="Arial"/>
        <w:color w:val="52514E"/>
        <w:sz w:val="16"/>
        <w:szCs w:val="16"/>
      </w:rPr>
      <w:t xml:space="preserve"> of </w:t>
    </w:r>
    <w:r>
      <w:rPr>
        <w:rFonts w:ascii="Arial" w:cs="Arial" w:eastAsia="Arial" w:hAnsi="Arial"/>
        <w:color w:val="5251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2514E"/>
        <w:sz w:val="16"/>
        <w:szCs w:val="16"/>
      </w:rPr>
      <w:t xml:space="preserve">Coffee "C" Dec/Mar spread – trading plan,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e6782bc613ef7a465b02ca4225a312eb1d7d8b.png"/><Relationship Id="rId10" Type="http://schemas.openxmlformats.org/officeDocument/2006/relationships/image" Target="media/a3aca0fb00de5b5dffbdffac1afedebaae018d85.png"/><Relationship Id="rId11" Type="http://schemas.openxmlformats.org/officeDocument/2006/relationships/image" Target="media/8843d613d968cc09e96425511e67e3fd0c9fedce.png"/><Relationship Id="rId12" Type="http://schemas.openxmlformats.org/officeDocument/2006/relationships/image" Target="media/a4e9cdc445c1044b356c217debb6fc0d995b5e0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 C Dec/Mar spread trading plan – October 2026</dc:title>
  <dc:creator>KCquant research</dc:creator>
  <cp:lastModifiedBy>Un-named</cp:lastModifiedBy>
  <cp:revision>1</cp:revision>
  <dcterms:created xsi:type="dcterms:W3CDTF">2026-10-05T05:26:35.927Z</dcterms:created>
  <dcterms:modified xsi:type="dcterms:W3CDTF">2026-10-05T05:26:35.927Z</dcterms:modified>
</cp:coreProperties>
</file>

<file path=docProps/custom.xml><?xml version="1.0" encoding="utf-8"?>
<Properties xmlns="http://schemas.openxmlformats.org/officeDocument/2006/custom-properties" xmlns:vt="http://schemas.openxmlformats.org/officeDocument/2006/docPropsVTypes"/>
</file>