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Times New Roman" w:hAnsi="Times New Roman"/>
          <w:b/>
          <w:i w:val="0"/>
          <w:color w:val="000000"/>
          <w:sz w:val="29"/>
        </w:rPr>
        <w:t>TÀI LIỆU QUẢN LÝ CHI PHÍ VÀ DỰ TOÁN NGÂN SÁCH DỰ ÁN</w:t>
      </w:r>
    </w:p>
    <w:p>
      <w:pPr>
        <w:spacing w:before="0" w:after="60" w:line="276" w:lineRule="auto"/>
        <w:jc w:val="center"/>
      </w:pPr>
      <w:r>
        <w:rPr>
          <w:rFonts w:ascii="Times New Roman" w:hAnsi="Times New Roman"/>
          <w:b/>
          <w:i w:val="0"/>
          <w:color w:val="000000"/>
          <w:sz w:val="24"/>
        </w:rPr>
        <w:t>Đề tài: Quản lý dự án: Xây dựng hệ thống quản lý và kết nối dữ liệu dự án xây dựng</w:t>
      </w:r>
    </w:p>
    <w:p>
      <w:pPr>
        <w:spacing w:before="0" w:after="240" w:line="276" w:lineRule="auto"/>
        <w:jc w:val="center"/>
      </w:pPr>
      <w:r>
        <w:rPr>
          <w:rFonts w:ascii="Times New Roman" w:hAnsi="Times New Roman"/>
          <w:b w:val="0"/>
          <w:i/>
          <w:color w:val="000000"/>
          <w:sz w:val="22"/>
        </w:rPr>
        <w:t>Mã số đề tài: CNTT20261_N10 | Học phần: Quản trị dự án CNTT - Nhóm 10</w:t>
      </w:r>
    </w:p>
    <w:p>
      <w:pPr>
        <w:spacing w:before="120" w:after="80" w:line="276" w:lineRule="auto"/>
        <w:jc w:val="both"/>
      </w:pPr>
      <w:r>
        <w:rPr>
          <w:rFonts w:ascii="Times New Roman" w:hAnsi="Times New Roman"/>
          <w:b/>
          <w:i w:val="0"/>
          <w:color w:val="000000"/>
          <w:sz w:val="25"/>
        </w:rPr>
        <w:t>LỜI MỞ ĐẦU &amp; NGUYÊN TẮC QUẢN LÝ CHI PHÍ</w:t>
      </w:r>
    </w:p>
    <w:p>
      <w:pPr>
        <w:spacing w:before="0" w:after="80" w:line="276" w:lineRule="auto"/>
        <w:jc w:val="both"/>
      </w:pPr>
      <w:r>
        <w:rPr>
          <w:rFonts w:ascii="Times New Roman" w:hAnsi="Times New Roman"/>
          <w:b w:val="0"/>
          <w:i w:val="0"/>
          <w:color w:val="000000"/>
          <w:sz w:val="24"/>
        </w:rPr>
        <w:t>Quản lý chi phí là một trong những trụ cột then chốt quyết định sự thành công và tính khả thi của dự án Công nghệ thông tin. Trong khuôn khổ đề tài 'Quản lý dự án: Xây dựng hệ thống quản lý và kết nối dữ liệu dự án xây dựng' (Mã số: CNTT20261_N10), kế hoạch quản lý chi phí được xây dựng nhằm thiết lập cơ chế ước tính, phân bổ, giám sát và kiểm soát ngân sách một cách minh bạch, chính xác và hiệu quả cao nhất.</w:t>
      </w:r>
    </w:p>
    <w:p>
      <w:pPr>
        <w:spacing w:before="0" w:after="80" w:line="276" w:lineRule="auto"/>
        <w:jc w:val="both"/>
      </w:pPr>
      <w:r>
        <w:rPr>
          <w:rFonts w:ascii="Times New Roman" w:hAnsi="Times New Roman"/>
          <w:color w:val="000000"/>
        </w:rPr>
        <w:t>Toàn bộ định mức dự toán được xây dựng trên cơ sở chuẩn hóa theo Thông tư liên tịch số 55/2015/TTLT-BTC-BKHCN và Thông tư 03/2023/TT-BKHCN của Bộ Khoa học và Công nghệ, đồng thời liên kết chặt chẽ với Cấu trúc phân rã công việc (WBS) gồm 55 gói công việc và tiến độ 26 tuần trên Microsoft Project. Toàn bộ cơ sở dữ liệu tính toán được thiết lập đồng bộ theo hệ thống 06 tab sheet chuẩn mực (gồm: CongViec, CongLaoDong, Dự toán, Thiết bị vật tư, Chi khác, KeHoachThanhToan) tương ứng theo cấu trúc chuẩn của bài mẫu Đề tài QLDA (2.Nhom_02_KinhPhiCongViec.xlsx) và hướng dẫn của Giảng viên hướng dẫn ThS. Lê Thị Hoa. Tổng ngân sách được phê duyệt chính thức là 1.128.528.500 VNĐ.</w:t>
      </w:r>
    </w:p>
    <w:p>
      <w:pPr>
        <w:spacing w:before="240" w:after="120" w:line="276" w:lineRule="auto"/>
        <w:jc w:val="both"/>
      </w:pPr>
      <w:r>
        <w:rPr>
          <w:rFonts w:ascii="Times New Roman" w:hAnsi="Times New Roman"/>
          <w:b/>
          <w:i w:val="0"/>
          <w:color w:val="000000"/>
          <w:sz w:val="27"/>
        </w:rPr>
        <w:t>CHƯƠNG 4: QUẢN LÝ CHI PHÍ VÀ NGÂN SÁCH</w:t>
      </w:r>
    </w:p>
    <w:p>
      <w:pPr>
        <w:spacing w:before="160" w:after="80" w:line="276" w:lineRule="auto"/>
        <w:jc w:val="both"/>
      </w:pPr>
      <w:r>
        <w:rPr>
          <w:rFonts w:ascii="Times New Roman" w:hAnsi="Times New Roman"/>
          <w:b/>
          <w:i w:val="0"/>
          <w:color w:val="000000"/>
          <w:sz w:val="25"/>
        </w:rPr>
        <w:t>4.1. Dự toán chi phí công lao động (Nhân công)</w:t>
      </w:r>
    </w:p>
    <w:p>
      <w:pPr>
        <w:spacing w:before="0" w:after="80" w:line="276" w:lineRule="auto"/>
        <w:jc w:val="both"/>
      </w:pPr>
      <w:r>
        <w:rPr>
          <w:rFonts w:ascii="Times New Roman" w:hAnsi="Times New Roman"/>
          <w:color w:val="000000"/>
        </w:rPr>
        <w:t>Căn cứ theo tab sheet 'CongLaoDong' và 'CongViec', toàn bộ tiền công lao động trực tiếp của 06 thành viên trong 26 tuần (612.5 ngày công tiêu chuẩn) được tính toán dựa trên mức lương cơ sở nghiên cứu khoa học kỹ thuật số hóa là 2.530.000 VNĐ/công và hệ số trách nhiệm theo chức danh:</w:t>
      </w:r>
    </w:p>
    <w:p>
      <w:pPr>
        <w:spacing w:before="120" w:after="60" w:line="276" w:lineRule="auto"/>
        <w:jc w:val="both"/>
      </w:pPr>
      <w:r>
        <w:rPr>
          <w:rFonts w:ascii="Times New Roman" w:hAnsi="Times New Roman"/>
          <w:b/>
          <w:i w:val="0"/>
          <w:color w:val="000000"/>
          <w:sz w:val="22"/>
        </w:rPr>
        <w:t>Bảng 4.1a: Bảng tổng hợp tiền công lao động trực tiếp 06 nhân sự (Khoản 1a)</w:t>
      </w:r>
    </w:p>
    <w:tbl>
      <w:tblPr>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t>TT</w:t>
            </w:r>
          </w:p>
        </w:tc>
        <w:tc>
          <w:tcPr>
            <w:tcW w:type="dxa" w:w="259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b/>
                <w:color w:val="000000"/>
                <w:sz w:val="20"/>
              </w:rPr>
              <w:t>Họ và tên</w:t>
            </w:r>
          </w:p>
        </w:tc>
        <w:tc>
          <w:tcPr>
            <w:tcW w:type="dxa" w:w="259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b/>
                <w:color w:val="000000"/>
                <w:sz w:val="20"/>
              </w:rPr>
              <w:t>Chức danh / Vai trò</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t>Hệ số công</w:t>
            </w:r>
          </w:p>
        </w:tc>
        <w:tc>
          <w:tcPr>
            <w:tcW w:type="dxa" w:w="158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b/>
                <w:color w:val="000000"/>
                <w:sz w:val="20"/>
              </w:rPr>
              <w:t>Tổng số ngày công (Snc)</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b/>
                <w:color w:val="000000"/>
                <w:sz w:val="20"/>
              </w:rPr>
              <w:t>Tiền công (đồng)</w:t>
            </w:r>
          </w:p>
        </w:tc>
      </w:tr>
      <w:tr>
        <w:trPr>
          <w:cantSplit/>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1</w:t>
            </w:r>
          </w:p>
        </w:tc>
        <w:tc>
          <w:tcPr>
            <w:tcW w:type="dxa" w:w="259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Nguyễn Quốc Hội</w:t>
            </w:r>
          </w:p>
        </w:tc>
        <w:tc>
          <w:tcPr>
            <w:tcW w:type="dxa" w:w="259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Chủ nhiệm đề tài / PM</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0.8</w:t>
            </w:r>
          </w:p>
        </w:tc>
        <w:tc>
          <w:tcPr>
            <w:tcW w:type="dxa" w:w="158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80.5</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162.932.000</w:t>
            </w:r>
          </w:p>
        </w:tc>
      </w:tr>
      <w:tr>
        <w:trPr>
          <w:cantSplit/>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2</w:t>
            </w:r>
          </w:p>
        </w:tc>
        <w:tc>
          <w:tcPr>
            <w:tcW w:type="dxa" w:w="259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Trần Tiến Thạnh</w:t>
            </w:r>
          </w:p>
        </w:tc>
        <w:tc>
          <w:tcPr>
            <w:tcW w:type="dxa" w:w="259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Thư ký / BA Lead</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0.5</w:t>
            </w:r>
          </w:p>
        </w:tc>
        <w:tc>
          <w:tcPr>
            <w:tcW w:type="dxa" w:w="158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84.0</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106.260.000</w:t>
            </w:r>
          </w:p>
        </w:tc>
      </w:tr>
      <w:tr>
        <w:trPr>
          <w:cantSplit/>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3</w:t>
            </w:r>
          </w:p>
        </w:tc>
        <w:tc>
          <w:tcPr>
            <w:tcW w:type="dxa" w:w="259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Phạm Đức Hiếu</w:t>
            </w:r>
          </w:p>
        </w:tc>
        <w:tc>
          <w:tcPr>
            <w:tcW w:type="dxa" w:w="259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QA/QC &amp; DevOps Engineer</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0.4</w:t>
            </w:r>
          </w:p>
        </w:tc>
        <w:tc>
          <w:tcPr>
            <w:tcW w:type="dxa" w:w="158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114.5</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115.874.000</w:t>
            </w:r>
          </w:p>
        </w:tc>
      </w:tr>
      <w:tr>
        <w:trPr>
          <w:cantSplit/>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4</w:t>
            </w:r>
          </w:p>
        </w:tc>
        <w:tc>
          <w:tcPr>
            <w:tcW w:type="dxa" w:w="259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Trần Ngọc Đức</w:t>
            </w:r>
          </w:p>
        </w:tc>
        <w:tc>
          <w:tcPr>
            <w:tcW w:type="dxa" w:w="259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Frontend &amp; BIM 3D Lead</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0.4</w:t>
            </w:r>
          </w:p>
        </w:tc>
        <w:tc>
          <w:tcPr>
            <w:tcW w:type="dxa" w:w="158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112.0</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113.344.000</w:t>
            </w:r>
          </w:p>
        </w:tc>
      </w:tr>
      <w:tr>
        <w:trPr>
          <w:cantSplit/>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5</w:t>
            </w:r>
          </w:p>
        </w:tc>
        <w:tc>
          <w:tcPr>
            <w:tcW w:type="dxa" w:w="259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Nguyễn Quốc Công</w:t>
            </w:r>
          </w:p>
        </w:tc>
        <w:tc>
          <w:tcPr>
            <w:tcW w:type="dxa" w:w="259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Technical Writer &amp; Support</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0.3</w:t>
            </w:r>
          </w:p>
        </w:tc>
        <w:tc>
          <w:tcPr>
            <w:tcW w:type="dxa" w:w="158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110.0</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83.490.000</w:t>
            </w:r>
          </w:p>
        </w:tc>
      </w:tr>
      <w:tr>
        <w:trPr>
          <w:cantSplit/>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6</w:t>
            </w:r>
          </w:p>
        </w:tc>
        <w:tc>
          <w:tcPr>
            <w:tcW w:type="dxa" w:w="259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Nguyễn Thành An</w:t>
            </w:r>
          </w:p>
        </w:tc>
        <w:tc>
          <w:tcPr>
            <w:tcW w:type="dxa" w:w="259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Tech Lead Backend &amp; DB</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0.3</w:t>
            </w:r>
          </w:p>
        </w:tc>
        <w:tc>
          <w:tcPr>
            <w:tcW w:type="dxa" w:w="158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111.5</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84.628.500</w:t>
            </w:r>
          </w:p>
        </w:tc>
      </w:tr>
      <w:tr>
        <w:trPr>
          <w:cantSplit/>
          <w:tblHeader/>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r>
          </w:p>
        </w:tc>
        <w:tc>
          <w:tcPr>
            <w:tcW w:type="dxa" w:w="259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b/>
                <w:color w:val="000000"/>
                <w:sz w:val="20"/>
              </w:rPr>
              <w:t>Tổng cộng Khoản 1a</w:t>
            </w:r>
          </w:p>
        </w:tc>
        <w:tc>
          <w:tcPr>
            <w:tcW w:type="dxa" w:w="259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b/>
                <w:color w:val="000000"/>
                <w:sz w:val="20"/>
              </w:rPr>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r>
          </w:p>
        </w:tc>
        <w:tc>
          <w:tcPr>
            <w:tcW w:type="dxa" w:w="158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b/>
                <w:color w:val="000000"/>
                <w:sz w:val="20"/>
              </w:rPr>
              <w:t>612.5</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b/>
                <w:color w:val="000000"/>
                <w:sz w:val="20"/>
              </w:rPr>
              <w:t>666.528.500</w:t>
            </w:r>
          </w:p>
        </w:tc>
      </w:tr>
    </w:tbl>
    <w:p>
      <w:pPr>
        <w:spacing w:before="120" w:after="60" w:line="276" w:lineRule="auto"/>
        <w:jc w:val="both"/>
      </w:pPr>
      <w:r>
        <w:rPr>
          <w:rFonts w:ascii="Times New Roman" w:hAnsi="Times New Roman"/>
          <w:b/>
          <w:i w:val="0"/>
          <w:color w:val="000000"/>
          <w:sz w:val="22"/>
        </w:rPr>
        <w:t>Bảng 4.1b: Phân rã ngày công và kinh phí lao động theo 6 giai đoạn phát triển WBS</w:t>
      </w:r>
    </w:p>
    <w:tbl>
      <w:tblPr>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t>Giai đoạn</w:t>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b/>
                <w:color w:val="000000"/>
                <w:sz w:val="20"/>
              </w:rPr>
              <w:t>Tên giai đoạn công việc</w:t>
            </w:r>
          </w:p>
        </w:tc>
        <w:tc>
          <w:tcPr>
            <w:tcW w:type="dxa" w:w="158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t>Số gói WBS</w:t>
            </w:r>
          </w:p>
        </w:tc>
        <w:tc>
          <w:tcPr>
            <w:tcW w:type="dxa" w:w="144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b/>
                <w:color w:val="000000"/>
                <w:sz w:val="20"/>
              </w:rPr>
              <w:t>Tổng ngày công</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b/>
                <w:color w:val="000000"/>
                <w:sz w:val="20"/>
              </w:rPr>
              <w:t>Kinh phí lao động (đồng)</w:t>
            </w:r>
          </w:p>
        </w:tc>
        <w:tc>
          <w:tcPr>
            <w:tcW w:type="dxa" w:w="129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t>Tỷ trọng</w:t>
            </w:r>
          </w:p>
        </w:tc>
      </w:tr>
      <w:tr>
        <w:trPr>
          <w:cantSplit/>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I</w:t>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Khảo sát yêu cầu &amp; Lập đặc tả SRS</w:t>
            </w:r>
          </w:p>
        </w:tc>
        <w:tc>
          <w:tcPr>
            <w:tcW w:type="dxa" w:w="158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6 gói</w:t>
            </w:r>
          </w:p>
        </w:tc>
        <w:tc>
          <w:tcPr>
            <w:tcW w:type="dxa" w:w="144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58.0</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63.150.000</w:t>
            </w:r>
          </w:p>
        </w:tc>
        <w:tc>
          <w:tcPr>
            <w:tcW w:type="dxa" w:w="129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9.47%</w:t>
            </w:r>
          </w:p>
        </w:tc>
      </w:tr>
      <w:tr>
        <w:trPr>
          <w:cantSplit/>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II</w:t>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Phân tích và thiết kế hệ thống (UML)</w:t>
            </w:r>
          </w:p>
        </w:tc>
        <w:tc>
          <w:tcPr>
            <w:tcW w:type="dxa" w:w="158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24 gói</w:t>
            </w:r>
          </w:p>
        </w:tc>
        <w:tc>
          <w:tcPr>
            <w:tcW w:type="dxa" w:w="144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154.5</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168.210.000</w:t>
            </w:r>
          </w:p>
        </w:tc>
        <w:tc>
          <w:tcPr>
            <w:tcW w:type="dxa" w:w="129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25.24%</w:t>
            </w:r>
          </w:p>
        </w:tc>
      </w:tr>
      <w:tr>
        <w:trPr>
          <w:cantSplit/>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III</w:t>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Thiết kế giao diện UI/UX Web 3D</w:t>
            </w:r>
          </w:p>
        </w:tc>
        <w:tc>
          <w:tcPr>
            <w:tcW w:type="dxa" w:w="158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4 gói</w:t>
            </w:r>
          </w:p>
        </w:tc>
        <w:tc>
          <w:tcPr>
            <w:tcW w:type="dxa" w:w="144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52.0</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56.630.000</w:t>
            </w:r>
          </w:p>
        </w:tc>
        <w:tc>
          <w:tcPr>
            <w:tcW w:type="dxa" w:w="129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8.50%</w:t>
            </w:r>
          </w:p>
        </w:tc>
      </w:tr>
      <w:tr>
        <w:trPr>
          <w:cantSplit/>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IV</w:t>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Xây dựng chương trình (Core Dev)</w:t>
            </w:r>
          </w:p>
        </w:tc>
        <w:tc>
          <w:tcPr>
            <w:tcW w:type="dxa" w:w="158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12 gói</w:t>
            </w:r>
          </w:p>
        </w:tc>
        <w:tc>
          <w:tcPr>
            <w:tcW w:type="dxa" w:w="144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218.0</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237.380.000</w:t>
            </w:r>
          </w:p>
        </w:tc>
        <w:tc>
          <w:tcPr>
            <w:tcW w:type="dxa" w:w="129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35.61%</w:t>
            </w:r>
          </w:p>
        </w:tc>
      </w:tr>
      <w:tr>
        <w:trPr>
          <w:cantSplit/>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V</w:t>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Kiểm thử hệ thống &amp; Tối ưu tải</w:t>
            </w:r>
          </w:p>
        </w:tc>
        <w:tc>
          <w:tcPr>
            <w:tcW w:type="dxa" w:w="158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4 gói</w:t>
            </w:r>
          </w:p>
        </w:tc>
        <w:tc>
          <w:tcPr>
            <w:tcW w:type="dxa" w:w="144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75.0</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81.670.000</w:t>
            </w:r>
          </w:p>
        </w:tc>
        <w:tc>
          <w:tcPr>
            <w:tcW w:type="dxa" w:w="129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12.25%</w:t>
            </w:r>
          </w:p>
        </w:tc>
      </w:tr>
      <w:tr>
        <w:trPr>
          <w:cantSplit/>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VI</w:t>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Triển khai, Demo, Đào tạo &amp; Nghiệm thu</w:t>
            </w:r>
          </w:p>
        </w:tc>
        <w:tc>
          <w:tcPr>
            <w:tcW w:type="dxa" w:w="158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5 gói</w:t>
            </w:r>
          </w:p>
        </w:tc>
        <w:tc>
          <w:tcPr>
            <w:tcW w:type="dxa" w:w="144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55.0</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59.488.500</w:t>
            </w:r>
          </w:p>
        </w:tc>
        <w:tc>
          <w:tcPr>
            <w:tcW w:type="dxa" w:w="129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8.93%</w:t>
            </w:r>
          </w:p>
        </w:tc>
      </w:tr>
      <w:tr>
        <w:trPr>
          <w:cantSplit/>
          <w:tblHeader/>
        </w:trPr>
        <w:tc>
          <w:tcPr>
            <w:tcW w:type="dxa" w:w="86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r>
          </w:p>
        </w:tc>
        <w:tc>
          <w:tcPr>
            <w:tcW w:type="dxa" w:w="331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b/>
                <w:color w:val="000000"/>
                <w:sz w:val="20"/>
              </w:rPr>
              <w:t>Tổng cộng (Toàn bộ dự án)</w:t>
            </w:r>
          </w:p>
        </w:tc>
        <w:tc>
          <w:tcPr>
            <w:tcW w:type="dxa" w:w="158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t>55 gói</w:t>
            </w:r>
          </w:p>
        </w:tc>
        <w:tc>
          <w:tcPr>
            <w:tcW w:type="dxa" w:w="144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b/>
                <w:color w:val="000000"/>
                <w:sz w:val="20"/>
              </w:rPr>
              <w:t>612.5</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b/>
                <w:color w:val="000000"/>
                <w:sz w:val="20"/>
              </w:rPr>
              <w:t>666.528.500</w:t>
            </w:r>
          </w:p>
        </w:tc>
        <w:tc>
          <w:tcPr>
            <w:tcW w:type="dxa" w:w="129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t>100.00%</w:t>
            </w:r>
          </w:p>
        </w:tc>
      </w:tr>
    </w:tbl>
    <w:p>
      <w:pPr>
        <w:spacing w:before="160" w:after="80" w:line="276" w:lineRule="auto"/>
        <w:jc w:val="both"/>
      </w:pPr>
      <w:r>
        <w:rPr>
          <w:rFonts w:ascii="Times New Roman" w:hAnsi="Times New Roman"/>
          <w:b/>
          <w:i w:val="0"/>
          <w:color w:val="000000"/>
          <w:sz w:val="25"/>
        </w:rPr>
        <w:t>4.2. Dự toán thiết bị, hạ tầng máy chủ và vật tư</w:t>
      </w:r>
    </w:p>
    <w:p>
      <w:pPr>
        <w:spacing w:before="0" w:after="80" w:line="276" w:lineRule="auto"/>
        <w:jc w:val="both"/>
      </w:pPr>
      <w:r>
        <w:rPr>
          <w:rFonts w:ascii="Times New Roman" w:hAnsi="Times New Roman"/>
          <w:color w:val="000000"/>
        </w:rPr>
        <w:t>Căn cứ tab sheet 'Thiết bị vật tư', toàn bộ hạ tầng công nghệ và vật tư kỹ thuật phục vụ dự án được xác định gồm 360.000.000 VNĐ chi phí thiết bị, máy chủ Cloud GPU, bản quyền phần mềm và 30.000.000 VNĐ chi phí nguyên vật liệu tiêu hao (Tổng cộng: 390.000.000 VNĐ), phân bổ theo 03 giai đoạn triển khai:</w:t>
      </w:r>
    </w:p>
    <w:p>
      <w:pPr>
        <w:spacing w:before="120" w:after="60" w:line="276" w:lineRule="auto"/>
        <w:jc w:val="both"/>
      </w:pPr>
      <w:r>
        <w:rPr>
          <w:rFonts w:ascii="Times New Roman" w:hAnsi="Times New Roman"/>
          <w:b/>
          <w:i w:val="0"/>
          <w:color w:val="000000"/>
          <w:sz w:val="22"/>
        </w:rPr>
        <w:t>Bảng 4.2a: Dự toán thiết bị, máy chủ Cloud GPU và bản quyền phần mềm</w:t>
      </w:r>
    </w:p>
    <w:tbl>
      <w:tblPr>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t>TT</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b/>
                <w:color w:val="000000"/>
                <w:sz w:val="20"/>
              </w:rPr>
              <w:t>Tên thiết bị / Dịch vụ Cloud &amp; Bản quyền</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t>ĐVT</w:t>
            </w:r>
          </w:p>
        </w:tc>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t>SL</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b/>
                <w:color w:val="000000"/>
                <w:sz w:val="20"/>
              </w:rPr>
              <w:t>Đơn giá (đồng)</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b/>
                <w:color w:val="000000"/>
                <w:sz w:val="20"/>
              </w:rPr>
              <w:t>Thành tiền (đồng)</w:t>
            </w:r>
          </w:p>
        </w:tc>
      </w:tr>
      <w:tr>
        <w:trPr>
          <w:cantSplit/>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1</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Thuê Hosting &amp; Tên miền Domain SSL chứng chỉ cao cấp (6 tháng)</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Gói</w:t>
            </w:r>
          </w:p>
        </w:tc>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1</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5.000.000</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5.000.000</w:t>
            </w:r>
          </w:p>
        </w:tc>
      </w:tr>
      <w:tr>
        <w:trPr>
          <w:cantSplit/>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2</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Thuê Cloud Server Dedicated GPU kết xuất mô hình BIM 3D (6 tháng)</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Gói</w:t>
            </w:r>
          </w:p>
        </w:tc>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1</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35.000.000</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35.000.000</w:t>
            </w:r>
          </w:p>
        </w:tc>
      </w:tr>
      <w:tr>
        <w:trPr>
          <w:cantSplit/>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3</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Bản quyền Autodesk Construction Cloud (ACC) API Gateway</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Gói</w:t>
            </w:r>
          </w:p>
        </w:tc>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2</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30.000.000</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60.000.000</w:t>
            </w:r>
          </w:p>
        </w:tc>
      </w:tr>
      <w:tr>
        <w:trPr>
          <w:cantSplit/>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4</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Bản quyền phần mềm kiểm thử tải cao &amp; an toàn thông tin (JMeter Pro)</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Bản quyền</w:t>
            </w:r>
          </w:p>
        </w:tc>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1</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20.000.000</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20.000.000</w:t>
            </w:r>
          </w:p>
        </w:tc>
      </w:tr>
      <w:tr>
        <w:trPr>
          <w:cantSplit/>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5</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Đăng ký bản quyền SHTT giải pháp phần mềm và sở hữu trí tuệ</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Bộ</w:t>
            </w:r>
          </w:p>
        </w:tc>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2</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35.000.000</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70.000.000</w:t>
            </w:r>
          </w:p>
        </w:tc>
      </w:tr>
      <w:tr>
        <w:trPr>
          <w:cantSplit/>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6</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Thư viện đồ họa WebGL nâng cao và máy trạm kiểm thử hiện trường</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Hệ thống</w:t>
            </w:r>
          </w:p>
        </w:tc>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1</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170.000.000</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170.000.000</w:t>
            </w:r>
          </w:p>
        </w:tc>
      </w:tr>
      <w:tr>
        <w:trPr>
          <w:cantSplit/>
          <w:tblHeader/>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b/>
                <w:color w:val="000000"/>
                <w:sz w:val="20"/>
              </w:rPr>
              <w:t>Tổng cộng Thiết bị &amp; Bản quyền phần mềm</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r>
          </w:p>
        </w:tc>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b/>
                <w:color w:val="000000"/>
                <w:sz w:val="20"/>
              </w:rPr>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b/>
                <w:color w:val="000000"/>
                <w:sz w:val="20"/>
              </w:rPr>
              <w:t>360.000.000</w:t>
            </w:r>
          </w:p>
        </w:tc>
      </w:tr>
    </w:tbl>
    <w:p>
      <w:pPr>
        <w:spacing w:before="120" w:after="60" w:line="276" w:lineRule="auto"/>
        <w:jc w:val="both"/>
      </w:pPr>
      <w:r>
        <w:rPr>
          <w:rFonts w:ascii="Times New Roman" w:hAnsi="Times New Roman"/>
          <w:b/>
          <w:i w:val="0"/>
          <w:color w:val="000000"/>
          <w:sz w:val="22"/>
        </w:rPr>
        <w:t>Bảng 4.2b: Dự toán nguyên vật liệu và vật tư tiêu hao sao lưu CDE</w:t>
      </w:r>
    </w:p>
    <w:tbl>
      <w:tblPr>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t>TT</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b/>
                <w:color w:val="000000"/>
                <w:sz w:val="20"/>
              </w:rPr>
              <w:t>Tên nguyên vật liệu / Vật tư tiêu hao</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t>ĐVT</w:t>
            </w:r>
          </w:p>
        </w:tc>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t>SL</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b/>
                <w:color w:val="000000"/>
                <w:sz w:val="20"/>
              </w:rPr>
              <w:t>Đơn giá (đồng)</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b/>
                <w:color w:val="000000"/>
                <w:sz w:val="20"/>
              </w:rPr>
              <w:t>Thành tiền (đồng)</w:t>
            </w:r>
          </w:p>
        </w:tc>
      </w:tr>
      <w:tr>
        <w:trPr>
          <w:cantSplit/>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1</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Ổ cứng SSD NVMe 2TB tốc độ cao sao lưu mô hình BIM/CDE</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Chiếc</w:t>
            </w:r>
          </w:p>
        </w:tc>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4</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3.500.000</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14.000.000</w:t>
            </w:r>
          </w:p>
        </w:tc>
      </w:tr>
      <w:tr>
        <w:trPr>
          <w:cantSplit/>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2</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Thiết bị lưu trữ đệm tại chỗ (NAS Buffer Storage 4TB)</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Bộ</w:t>
            </w:r>
          </w:p>
        </w:tc>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1</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8.000.000</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8.000.000</w:t>
            </w:r>
          </w:p>
        </w:tc>
      </w:tr>
      <w:tr>
        <w:trPr>
          <w:cantSplit/>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3</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Vật tư in ấn kỹ thuật, mực in, giấy in bản vẽ khổ lớn A3/A4</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Gói</w:t>
            </w:r>
          </w:p>
        </w:tc>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1</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5.000.000</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5.000.000</w:t>
            </w:r>
          </w:p>
        </w:tc>
      </w:tr>
      <w:tr>
        <w:trPr>
          <w:cantSplit/>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4</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Phụ kiện mạng chuyên dụng, cáp truyền dữ liệu sợi quang đệm</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Gói</w:t>
            </w:r>
          </w:p>
        </w:tc>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1</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3.000.000</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3.000.000</w:t>
            </w:r>
          </w:p>
        </w:tc>
      </w:tr>
      <w:tr>
        <w:trPr>
          <w:cantSplit/>
          <w:tblHeader/>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b/>
                <w:color w:val="000000"/>
                <w:sz w:val="20"/>
              </w:rPr>
              <w:t>Tổng cộng Nguyên vật liệu tiêu hao</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r>
          </w:p>
        </w:tc>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b/>
                <w:color w:val="000000"/>
                <w:sz w:val="20"/>
              </w:rPr>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b/>
                <w:color w:val="000000"/>
                <w:sz w:val="20"/>
              </w:rPr>
              <w:t>30.000.000</w:t>
            </w:r>
          </w:p>
        </w:tc>
      </w:tr>
    </w:tbl>
    <w:p>
      <w:pPr>
        <w:spacing w:before="160" w:after="80" w:line="276" w:lineRule="auto"/>
        <w:jc w:val="both"/>
      </w:pPr>
      <w:r>
        <w:rPr>
          <w:rFonts w:ascii="Times New Roman" w:hAnsi="Times New Roman"/>
          <w:b/>
          <w:i w:val="0"/>
          <w:color w:val="000000"/>
          <w:sz w:val="25"/>
        </w:rPr>
        <w:t>4.3. Dự toán các chi phí khác và quỹ dự phòng</w:t>
      </w:r>
    </w:p>
    <w:p>
      <w:pPr>
        <w:spacing w:before="0" w:after="80" w:line="276" w:lineRule="auto"/>
        <w:jc w:val="both"/>
      </w:pPr>
      <w:r>
        <w:rPr>
          <w:rFonts w:ascii="Times New Roman" w:hAnsi="Times New Roman"/>
          <w:color w:val="000000"/>
        </w:rPr>
        <w:t>Căn cứ tab sheet 'Chi khác', các khoản chi khác được xác định gồm 72.000.000 VNĐ phục vụ quản lý, hội thảo chuyên gia, nghiệm thu cơ sở, đường truyền Internet và Quỹ dự phòng tự cân đối (10.000.000 VNĐ):</w:t>
      </w:r>
    </w:p>
    <w:p>
      <w:pPr>
        <w:spacing w:before="120" w:after="60" w:line="276" w:lineRule="auto"/>
        <w:jc w:val="both"/>
      </w:pPr>
      <w:r>
        <w:rPr>
          <w:rFonts w:ascii="Times New Roman" w:hAnsi="Times New Roman"/>
          <w:b/>
          <w:i w:val="0"/>
          <w:color w:val="000000"/>
          <w:sz w:val="22"/>
        </w:rPr>
        <w:t>Bảng 4.3: Bảng dự toán chi tiết các chi phí khác và quỹ dự phòng</w:t>
      </w:r>
    </w:p>
    <w:tbl>
      <w:tblPr>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t>TT</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b/>
                <w:color w:val="000000"/>
                <w:sz w:val="20"/>
              </w:rPr>
              <w:t>Nội dung các khoản chi</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t>ĐVT</w:t>
            </w:r>
          </w:p>
        </w:tc>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t>SL</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b/>
                <w:color w:val="000000"/>
                <w:sz w:val="20"/>
              </w:rPr>
              <w:t>Định mức (đồng)</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b/>
                <w:color w:val="000000"/>
                <w:sz w:val="20"/>
              </w:rPr>
              <w:t>Tổng kinh phí (đồng)</w:t>
            </w:r>
          </w:p>
        </w:tc>
      </w:tr>
      <w:tr>
        <w:trPr>
          <w:cantSplit/>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1</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Kinh phí quản lý cơ quan chủ trì (Thư ký hành chính)</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Tháng</w:t>
            </w:r>
          </w:p>
        </w:tc>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6</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500.000</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3.000.000</w:t>
            </w:r>
          </w:p>
        </w:tc>
      </w:tr>
      <w:tr>
        <w:trPr>
          <w:cantSplit/>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2</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Hội thảo tham vấn chuyên gia &amp; đánh giá kiến trúc CDE (1 buổi)</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Buổi</w:t>
            </w:r>
          </w:p>
        </w:tc>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1</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15.000.000</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15.000.000</w:t>
            </w:r>
          </w:p>
        </w:tc>
      </w:tr>
      <w:tr>
        <w:trPr>
          <w:cantSplit/>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3</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Nghiệm thu cơ sở &amp; Đánh giá của Hội đồng nghiệm thu</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Đợt</w:t>
            </w:r>
          </w:p>
        </w:tc>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1</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18.000.000</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18.000.000</w:t>
            </w:r>
          </w:p>
        </w:tc>
      </w:tr>
      <w:tr>
        <w:trPr>
          <w:cantSplit/>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4</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In ấn tài liệu, SRS, HDSD, biểu mẫu, văn phòng phẩm</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Gói</w:t>
            </w:r>
          </w:p>
        </w:tc>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1</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6.000.000</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6.000.000</w:t>
            </w:r>
          </w:p>
        </w:tc>
      </w:tr>
      <w:tr>
        <w:trPr>
          <w:cantSplit/>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5</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Chi phí đường truyền Internet chuyên dụng kết nối Cloud (6 tháng)</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Tháng</w:t>
            </w:r>
          </w:p>
        </w:tc>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6</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2.000.000</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12.000.000</w:t>
            </w:r>
          </w:p>
        </w:tc>
      </w:tr>
      <w:tr>
        <w:trPr>
          <w:cantSplit/>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6</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Đào tạo chuyển giao công nghệ &amp; truyền thông demo sản phẩm</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Đợt</w:t>
            </w:r>
          </w:p>
        </w:tc>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1</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8.000.000</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8.000.000</w:t>
            </w:r>
          </w:p>
        </w:tc>
      </w:tr>
      <w:tr>
        <w:trPr>
          <w:cantSplit/>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7</w:t>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Chi phí bảo trì hệ thống và quỹ dự phòng rủi ro biến động giá</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Gói</w:t>
            </w:r>
          </w:p>
        </w:tc>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1</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10.000.000</w:t>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10.000.000</w:t>
            </w:r>
          </w:p>
        </w:tc>
      </w:tr>
      <w:tr>
        <w:trPr>
          <w:cantSplit/>
          <w:tblHeader/>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r>
          </w:p>
        </w:tc>
        <w:tc>
          <w:tcPr>
            <w:tcW w:type="dxa" w:w="3888"/>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b/>
                <w:color w:val="000000"/>
                <w:sz w:val="20"/>
              </w:rPr>
              <w:t>Tổng cộng Khoản chi khác</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r>
          </w:p>
        </w:tc>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b/>
                <w:color w:val="000000"/>
                <w:sz w:val="20"/>
              </w:rPr>
            </w:r>
          </w:p>
        </w:tc>
        <w:tc>
          <w:tcPr>
            <w:tcW w:type="dxa" w:w="2016"/>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b/>
                <w:color w:val="000000"/>
                <w:sz w:val="20"/>
              </w:rPr>
              <w:t>72.000.000</w:t>
            </w:r>
          </w:p>
        </w:tc>
      </w:tr>
    </w:tbl>
    <w:p>
      <w:pPr>
        <w:spacing w:before="160" w:after="80" w:line="276" w:lineRule="auto"/>
        <w:jc w:val="both"/>
      </w:pPr>
      <w:r>
        <w:rPr>
          <w:rFonts w:ascii="Times New Roman" w:hAnsi="Times New Roman"/>
          <w:b/>
          <w:i w:val="0"/>
          <w:color w:val="000000"/>
          <w:sz w:val="25"/>
        </w:rPr>
        <w:t>4.4. Bảng tổng hợp dự toán ngân sách dự án</w:t>
      </w:r>
    </w:p>
    <w:p>
      <w:pPr>
        <w:spacing w:before="0" w:after="80" w:line="276" w:lineRule="auto"/>
        <w:jc w:val="both"/>
      </w:pPr>
      <w:r>
        <w:rPr>
          <w:rFonts w:ascii="Times New Roman" w:hAnsi="Times New Roman"/>
          <w:color w:val="000000"/>
        </w:rPr>
        <w:t>Căn cứ tab sheet 'Dự toán', toàn bộ ngân sách dự án được tổng hợp và phân kỳ đầu tư như sau:</w:t>
      </w:r>
    </w:p>
    <w:p>
      <w:pPr>
        <w:spacing w:before="120" w:after="60" w:line="276" w:lineRule="auto"/>
        <w:jc w:val="both"/>
      </w:pPr>
      <w:r>
        <w:rPr>
          <w:rFonts w:ascii="Times New Roman" w:hAnsi="Times New Roman"/>
          <w:b/>
          <w:i w:val="0"/>
          <w:color w:val="000000"/>
          <w:sz w:val="22"/>
        </w:rPr>
        <w:t>Bảng 4.4: Tổng hợp dự toán ngân sách toàn bộ dự án CNTT20261_N10 (Phụ lục 3)</w:t>
      </w:r>
    </w:p>
    <w:tbl>
      <w:tblPr>
        <w:tblW w:type="auto" w:w="0"/>
        <w:jc w:val="center"/>
        <w:tblLook w:firstColumn="1" w:firstRow="1" w:lastColumn="0" w:lastRow="0" w:noHBand="0" w:noVBand="1" w:val="04A0"/>
      </w:tblPr>
      <w:tblGrid>
        <w:gridCol w:w="1512"/>
        <w:gridCol w:w="1512"/>
        <w:gridCol w:w="1512"/>
        <w:gridCol w:w="1512"/>
        <w:gridCol w:w="1512"/>
        <w:gridCol w:w="1512"/>
      </w:tblGrid>
      <w:tr>
        <w:trPr>
          <w:cantSplit/>
          <w:tblHeader/>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t>TT</w:t>
            </w:r>
          </w:p>
        </w:tc>
        <w:tc>
          <w:tcPr>
            <w:tcW w:type="dxa" w:w="374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b/>
                <w:color w:val="000000"/>
                <w:sz w:val="20"/>
              </w:rPr>
              <w:t>Nội dung các khoản chi</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b/>
                <w:color w:val="000000"/>
                <w:sz w:val="20"/>
              </w:rPr>
              <w:t>Tổng kinh phí (đồng)</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t>Tỷ trọng</w:t>
            </w:r>
          </w:p>
        </w:tc>
        <w:tc>
          <w:tcPr>
            <w:tcW w:type="dxa" w:w="158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b/>
                <w:color w:val="000000"/>
                <w:sz w:val="20"/>
              </w:rPr>
              <w:t>Năm 2026 (70%)</w:t>
            </w:r>
          </w:p>
        </w:tc>
        <w:tc>
          <w:tcPr>
            <w:tcW w:type="dxa" w:w="158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b/>
                <w:color w:val="000000"/>
                <w:sz w:val="20"/>
              </w:rPr>
              <w:t>Năm 2027 (30%)</w:t>
            </w:r>
          </w:p>
        </w:tc>
      </w:tr>
      <w:tr>
        <w:trPr>
          <w:cantSplit/>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1</w:t>
            </w:r>
          </w:p>
        </w:tc>
        <w:tc>
          <w:tcPr>
            <w:tcW w:type="dxa" w:w="374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Khoản 1: Công lao động trực tiếp (Khoa học, phổ thông)</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666.528.500</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59.06%</w:t>
            </w:r>
          </w:p>
        </w:tc>
        <w:tc>
          <w:tcPr>
            <w:tcW w:type="dxa" w:w="158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466.570.000</w:t>
            </w:r>
          </w:p>
        </w:tc>
        <w:tc>
          <w:tcPr>
            <w:tcW w:type="dxa" w:w="158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199.958.500</w:t>
            </w:r>
          </w:p>
        </w:tc>
      </w:tr>
      <w:tr>
        <w:trPr>
          <w:cantSplit/>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2</w:t>
            </w:r>
          </w:p>
        </w:tc>
        <w:tc>
          <w:tcPr>
            <w:tcW w:type="dxa" w:w="374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Khoản 2: Nguyên vật liệu &amp; vật tư CDE tiêu hao</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30.000.000</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2.66%</w:t>
            </w:r>
          </w:p>
        </w:tc>
        <w:tc>
          <w:tcPr>
            <w:tcW w:type="dxa" w:w="158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21.000.000</w:t>
            </w:r>
          </w:p>
        </w:tc>
        <w:tc>
          <w:tcPr>
            <w:tcW w:type="dxa" w:w="158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9.000.000</w:t>
            </w:r>
          </w:p>
        </w:tc>
      </w:tr>
      <w:tr>
        <w:trPr>
          <w:cantSplit/>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3</w:t>
            </w:r>
          </w:p>
        </w:tc>
        <w:tc>
          <w:tcPr>
            <w:tcW w:type="dxa" w:w="374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Khoản 3: Thiết bị máy chủ, Cloud Server &amp; Phần mềm</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360.000.000</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31.90%</w:t>
            </w:r>
          </w:p>
        </w:tc>
        <w:tc>
          <w:tcPr>
            <w:tcW w:type="dxa" w:w="158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252.000.000</w:t>
            </w:r>
          </w:p>
        </w:tc>
        <w:tc>
          <w:tcPr>
            <w:tcW w:type="dxa" w:w="158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108.000.000</w:t>
            </w:r>
          </w:p>
        </w:tc>
      </w:tr>
      <w:tr>
        <w:trPr>
          <w:cantSplit/>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4</w:t>
            </w:r>
          </w:p>
        </w:tc>
        <w:tc>
          <w:tcPr>
            <w:tcW w:type="dxa" w:w="374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color w:val="000000"/>
                <w:sz w:val="19"/>
              </w:rPr>
              <w:t>Khoản 4: Chi khác (quản lý, hội thảo, nghiệm thu, VPP, dự phòng)</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72.000.000</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color w:val="000000"/>
                <w:sz w:val="19"/>
              </w:rPr>
              <w:t>6.38%</w:t>
            </w:r>
          </w:p>
        </w:tc>
        <w:tc>
          <w:tcPr>
            <w:tcW w:type="dxa" w:w="158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50.400.000</w:t>
            </w:r>
          </w:p>
        </w:tc>
        <w:tc>
          <w:tcPr>
            <w:tcW w:type="dxa" w:w="158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color w:val="000000"/>
                <w:sz w:val="19"/>
              </w:rPr>
              <w:t>21.600.000</w:t>
            </w:r>
          </w:p>
        </w:tc>
      </w:tr>
      <w:tr>
        <w:trPr>
          <w:cantSplit/>
          <w:tblHeader/>
        </w:trPr>
        <w:tc>
          <w:tcPr>
            <w:tcW w:type="dxa" w:w="720"/>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r>
          </w:p>
        </w:tc>
        <w:tc>
          <w:tcPr>
            <w:tcW w:type="dxa" w:w="374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left"/>
            </w:pPr>
            <w:r>
              <w:rPr>
                <w:rFonts w:ascii="Times New Roman" w:hAnsi="Times New Roman"/>
                <w:b/>
                <w:color w:val="000000"/>
                <w:sz w:val="20"/>
              </w:rPr>
              <w:t>TỔNG CỘNG NGÂN SÁCH DỰ ÁN</w:t>
            </w:r>
          </w:p>
        </w:tc>
        <w:tc>
          <w:tcPr>
            <w:tcW w:type="dxa" w:w="187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b/>
                <w:color w:val="000000"/>
                <w:sz w:val="20"/>
              </w:rPr>
              <w:t>1.128.528.500</w:t>
            </w:r>
          </w:p>
        </w:tc>
        <w:tc>
          <w:tcPr>
            <w:tcW w:type="dxa" w:w="1152"/>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center"/>
            </w:pPr>
            <w:r>
              <w:rPr>
                <w:rFonts w:ascii="Times New Roman" w:hAnsi="Times New Roman"/>
                <w:b/>
                <w:color w:val="000000"/>
                <w:sz w:val="20"/>
              </w:rPr>
              <w:t>100.00%</w:t>
            </w:r>
          </w:p>
        </w:tc>
        <w:tc>
          <w:tcPr>
            <w:tcW w:type="dxa" w:w="158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b/>
                <w:color w:val="000000"/>
                <w:sz w:val="20"/>
              </w:rPr>
              <w:t>789.970.000</w:t>
            </w:r>
          </w:p>
        </w:tc>
        <w:tc>
          <w:tcPr>
            <w:tcW w:type="dxa" w:w="1584"/>
            <w:tcBorders>
              <w:top w:val="single" w:sz="4" w:space="0" w:color="000000"/>
              <w:left w:val="single" w:sz="4" w:space="0" w:color="000000"/>
              <w:bottom w:val="single" w:sz="4" w:space="0" w:color="000000"/>
              <w:right w:val="single" w:sz="4" w:space="0" w:color="000000"/>
            </w:tcBorders>
            <w:shd w:fill="auto"/>
            <w:tcMar>
              <w:top w:w="100" w:type="dxa"/>
              <w:bottom w:w="100" w:type="dxa"/>
              <w:left w:w="150" w:type="dxa"/>
              <w:right w:w="150" w:type="dxa"/>
            </w:tcMar>
          </w:tcPr>
          <w:p>
            <w:pPr>
              <w:spacing w:line="276" w:lineRule="auto" w:before="0" w:after="40"/>
              <w:jc w:val="right"/>
            </w:pPr>
            <w:r>
              <w:rPr>
                <w:rFonts w:ascii="Times New Roman" w:hAnsi="Times New Roman"/>
                <w:b/>
                <w:color w:val="000000"/>
                <w:sz w:val="20"/>
              </w:rPr>
              <w:t>338.558.500</w:t>
            </w:r>
          </w:p>
        </w:tc>
      </w:tr>
    </w:tbl>
    <w:p>
      <w:pPr>
        <w:spacing w:before="80" w:after="80" w:line="276" w:lineRule="auto"/>
        <w:jc w:val="both"/>
      </w:pPr>
      <w:r>
        <w:rPr>
          <w:rFonts w:ascii="Times New Roman" w:hAnsi="Times New Roman"/>
          <w:b/>
          <w:i/>
          <w:color w:val="000000"/>
          <w:sz w:val="24"/>
        </w:rPr>
        <w:t>Bằng chữ: Một tỷ một trăm hai mươi tám triệu năm trăm hai mươi tám nghìn năm trăm đồng.</w:t>
      </w:r>
    </w:p>
    <w:p>
      <w:pPr>
        <w:spacing w:before="240" w:after="80"/>
      </w:pPr>
      <w:r>
        <w:rPr>
          <w:rFonts w:ascii="Times New Roman" w:hAnsi="Times New Roman"/>
          <w:b/>
          <w:i w:val="0"/>
          <w:color w:val="000000"/>
          <w:sz w:val="26"/>
        </w:rPr>
        <w:t>4.5. Kế hoạch thanh toán theo cột mốc nghiệm thu và Dự báo dòng tiền (KeHoachThanhToan)</w:t>
      </w:r>
    </w:p>
    <w:p>
      <w:pPr>
        <w:spacing w:line="276" w:lineRule="auto" w:after="120"/>
        <w:jc w:val="both"/>
      </w:pPr>
      <w:r>
        <w:rPr>
          <w:rFonts w:ascii="Times New Roman" w:hAnsi="Times New Roman"/>
          <w:b w:val="0"/>
          <w:i w:val="0"/>
          <w:color w:val="000000"/>
          <w:sz w:val="24"/>
        </w:rPr>
        <w:t>Căn cứ theo tab sheet 'KeHoachThanhToan' được xây dựng theo chuẩn mực quản trị dòng tiền của dự án mẫu (2.Nhom_02_KinhPhiCongViec.xlsx), kế hoạch tài chính của đề tài được phân tách thành hai hợp phần then chốt: (1) Kế hoạch thanh toán giải ngân theo 6 cột mốc nghiệm thu kỹ thuật; và (2) Dự báo dòng tiền theo tháng (Cash Flow Forecast) xuyên suốt 07 tháng vòng đời dự án (từ tháng 09/2026 đến tháng 03/2027). Cơ chế này đảm bảo dòng tiền lũy kế (Net Cumulative Cash Flow) không bao giờ bị âm tại bất kỳ thời điểm cuối tháng nào, duy trì khả năng tự chủ tài chính cho nhóm triển khai.</w:t>
      </w:r>
    </w:p>
    <w:p>
      <w:pPr>
        <w:spacing w:before="120" w:after="60"/>
      </w:pPr>
      <w:r>
        <w:rPr>
          <w:rFonts w:ascii="Times New Roman" w:hAnsi="Times New Roman"/>
          <w:b/>
          <w:i w:val="0"/>
          <w:color w:val="000000"/>
          <w:sz w:val="24"/>
        </w:rPr>
        <w:t>Bảng 4.5a: Kế hoạch thanh toán theo 6 cột mốc nghiệm thu kỹ thuật (Phụ lục 4 - Mục I)</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i w:val="0"/>
                <w:color w:val="000000"/>
                <w:sz w:val="20"/>
              </w:rPr>
              <w:t>Đợt</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i w:val="0"/>
                <w:color w:val="000000"/>
                <w:sz w:val="20"/>
              </w:rPr>
              <w:t>Cột mốc nghiệm thu</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i w:val="0"/>
                <w:color w:val="000000"/>
                <w:sz w:val="20"/>
              </w:rPr>
              <w:t>Ngày mốc</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i w:val="0"/>
                <w:color w:val="000000"/>
                <w:sz w:val="20"/>
              </w:rPr>
              <w:t>Điều kiện thanh toán (hồ sơ nghiệm thu)</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i w:val="0"/>
                <w:color w:val="000000"/>
                <w:sz w:val="20"/>
              </w:rPr>
              <w:t>Tỷ lệ</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i w:val="0"/>
                <w:color w:val="000000"/>
                <w:sz w:val="20"/>
              </w:rPr>
              <w:t>Số tiền (đồng)</w:t>
            </w:r>
          </w:p>
        </w:tc>
      </w:tr>
      <w:tr>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val="0"/>
                <w:i w:val="0"/>
                <w:color w:val="000000"/>
                <w:sz w:val="19"/>
              </w:rPr>
              <w:t>Đợt 1 (Tạm ứng)</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left"/>
            </w:pPr>
            <w:r>
              <w:rPr>
                <w:rFonts w:ascii="Times New Roman" w:hAnsi="Times New Roman"/>
                <w:b w:val="0"/>
                <w:i w:val="0"/>
                <w:color w:val="000000"/>
                <w:sz w:val="19"/>
              </w:rPr>
              <w:t>M01 - Khởi động &amp; Phê duyệt Charter</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val="0"/>
                <w:i w:val="0"/>
                <w:color w:val="000000"/>
                <w:sz w:val="19"/>
              </w:rPr>
              <w:t>11/09/2026</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left"/>
            </w:pPr>
            <w:r>
              <w:rPr>
                <w:rFonts w:ascii="Times New Roman" w:hAnsi="Times New Roman"/>
                <w:b w:val="0"/>
                <w:i w:val="0"/>
                <w:color w:val="000000"/>
                <w:sz w:val="19"/>
              </w:rPr>
              <w:t>Hợp đồng đã ký; Biên bản phê duyệt Project Charter &amp; Dự thảo SRS; Đề nghị tạm ứng</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9"/>
              </w:rPr>
              <w:t>20.00%</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9"/>
              </w:rPr>
              <w:t>225.705.700</w:t>
            </w:r>
          </w:p>
        </w:tc>
      </w:tr>
      <w:tr>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val="0"/>
                <w:i w:val="0"/>
                <w:color w:val="000000"/>
                <w:sz w:val="19"/>
              </w:rPr>
              <w:t>Đợt 2</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left"/>
            </w:pPr>
            <w:r>
              <w:rPr>
                <w:rFonts w:ascii="Times New Roman" w:hAnsi="Times New Roman"/>
                <w:b w:val="0"/>
                <w:i w:val="0"/>
                <w:color w:val="000000"/>
                <w:sz w:val="19"/>
              </w:rPr>
              <w:t>M02 - Nghiệm thu Khảo sát SRS &amp; Baseline</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val="0"/>
                <w:i w:val="0"/>
                <w:color w:val="000000"/>
                <w:sz w:val="19"/>
              </w:rPr>
              <w:t>09/10/2026</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left"/>
            </w:pPr>
            <w:r>
              <w:rPr>
                <w:rFonts w:ascii="Times New Roman" w:hAnsi="Times New Roman"/>
                <w:b w:val="0"/>
                <w:i w:val="0"/>
                <w:color w:val="000000"/>
                <w:sz w:val="19"/>
              </w:rPr>
              <w:t>Tài liệu SRS v1.0 và Kế hoạch quản trị dự án tổng thể được Ban Chỉ đạo phê duyệt</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9"/>
              </w:rPr>
              <w:t>15.00%</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9"/>
              </w:rPr>
              <w:t>169.279.275</w:t>
            </w:r>
          </w:p>
        </w:tc>
      </w:tr>
      <w:tr>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val="0"/>
                <w:i w:val="0"/>
                <w:color w:val="000000"/>
                <w:sz w:val="19"/>
              </w:rPr>
              <w:t>Đợt 3</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left"/>
            </w:pPr>
            <w:r>
              <w:rPr>
                <w:rFonts w:ascii="Times New Roman" w:hAnsi="Times New Roman"/>
                <w:b w:val="0"/>
                <w:i w:val="0"/>
                <w:color w:val="000000"/>
                <w:sz w:val="19"/>
              </w:rPr>
              <w:t>M03 - Ký xác nhận Thiết kế SAD &amp; UI/UX</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val="0"/>
                <w:i w:val="0"/>
                <w:color w:val="000000"/>
                <w:sz w:val="19"/>
              </w:rPr>
              <w:t>06/11/2026</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left"/>
            </w:pPr>
            <w:r>
              <w:rPr>
                <w:rFonts w:ascii="Times New Roman" w:hAnsi="Times New Roman"/>
                <w:b w:val="0"/>
                <w:i w:val="0"/>
                <w:color w:val="000000"/>
                <w:sz w:val="19"/>
              </w:rPr>
              <w:t>Báo cáo Phân tích thiết kế hệ thống (SAD, UML) và Prototype Figma hoàn chỉnh</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9"/>
              </w:rPr>
              <w:t>15.00%</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9"/>
              </w:rPr>
              <w:t>169.279.275</w:t>
            </w:r>
          </w:p>
        </w:tc>
      </w:tr>
      <w:tr>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val="0"/>
                <w:i w:val="0"/>
                <w:color w:val="000000"/>
                <w:sz w:val="19"/>
              </w:rPr>
              <w:t>Đợt 4</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left"/>
            </w:pPr>
            <w:r>
              <w:rPr>
                <w:rFonts w:ascii="Times New Roman" w:hAnsi="Times New Roman"/>
                <w:b w:val="0"/>
                <w:i w:val="0"/>
                <w:color w:val="000000"/>
                <w:sz w:val="19"/>
              </w:rPr>
              <w:t>M04 - Nghiệm thu Core Backend &amp; BIM 3D</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val="0"/>
                <w:i w:val="0"/>
                <w:color w:val="000000"/>
                <w:sz w:val="19"/>
              </w:rPr>
              <w:t>11/12/2026</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left"/>
            </w:pPr>
            <w:r>
              <w:rPr>
                <w:rFonts w:ascii="Times New Roman" w:hAnsi="Times New Roman"/>
                <w:b w:val="0"/>
                <w:i w:val="0"/>
                <w:color w:val="000000"/>
                <w:sz w:val="19"/>
              </w:rPr>
              <w:t>Module WebGL Three.js, RESTful API Backend, tài liệu HDSD sơ bộ được nghiệm thu</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9"/>
              </w:rPr>
              <w:t>25.00%</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9"/>
              </w:rPr>
              <w:t>282.132.125</w:t>
            </w:r>
          </w:p>
        </w:tc>
      </w:tr>
      <w:tr>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val="0"/>
                <w:i w:val="0"/>
                <w:color w:val="000000"/>
                <w:sz w:val="19"/>
              </w:rPr>
              <w:t>Đợt 5</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left"/>
            </w:pPr>
            <w:r>
              <w:rPr>
                <w:rFonts w:ascii="Times New Roman" w:hAnsi="Times New Roman"/>
                <w:b w:val="0"/>
                <w:i w:val="0"/>
                <w:color w:val="000000"/>
                <w:sz w:val="19"/>
              </w:rPr>
              <w:t>M05 - Nghiệm thu Kiểm thử E2E &amp; Staging</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val="0"/>
                <w:i w:val="0"/>
                <w:color w:val="000000"/>
                <w:sz w:val="19"/>
              </w:rPr>
              <w:t>22/01/2027</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left"/>
            </w:pPr>
            <w:r>
              <w:rPr>
                <w:rFonts w:ascii="Times New Roman" w:hAnsi="Times New Roman"/>
                <w:b w:val="0"/>
                <w:i w:val="0"/>
                <w:color w:val="000000"/>
                <w:sz w:val="19"/>
              </w:rPr>
              <w:t>Biên bản nghiệm thu Test E2E, hệ thống Staging chạy ổn định không còn bug nghiêm trọng</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9"/>
              </w:rPr>
              <w:t>20.00%</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9"/>
              </w:rPr>
              <w:t>225.705.700</w:t>
            </w:r>
          </w:p>
        </w:tc>
      </w:tr>
      <w:tr>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val="0"/>
                <w:i w:val="0"/>
                <w:color w:val="000000"/>
                <w:sz w:val="19"/>
              </w:rPr>
              <w:t>Đợt 6 (Quyết toán)</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left"/>
            </w:pPr>
            <w:r>
              <w:rPr>
                <w:rFonts w:ascii="Times New Roman" w:hAnsi="Times New Roman"/>
                <w:b w:val="0"/>
                <w:i w:val="0"/>
                <w:color w:val="000000"/>
                <w:sz w:val="19"/>
              </w:rPr>
              <w:t>M06 - Triển khai Cloud &amp; Nghiệm thu Bảo vệ</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val="0"/>
                <w:i w:val="0"/>
                <w:color w:val="000000"/>
                <w:sz w:val="19"/>
              </w:rPr>
              <w:t>26/02/2027</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left"/>
            </w:pPr>
            <w:r>
              <w:rPr>
                <w:rFonts w:ascii="Times New Roman" w:hAnsi="Times New Roman"/>
                <w:b w:val="0"/>
                <w:i w:val="0"/>
                <w:color w:val="000000"/>
                <w:sz w:val="19"/>
              </w:rPr>
              <w:t>Biên bản nghiệm thu chính thức của Hội đồng; Hồ sơ quyết toán; Biên bản đóng đề tài</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9"/>
              </w:rPr>
              <w:t>5.00%</w:t>
            </w:r>
          </w:p>
        </w:tc>
        <w:tc>
          <w:tcPr>
            <w:tcW w:type="dxa" w:w="1512"/>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9"/>
              </w:rPr>
              <w:t>56.426.425</w:t>
            </w:r>
          </w:p>
        </w:tc>
      </w:tr>
      <w:tr>
        <w:tc>
          <w:tcPr>
            <w:tcW w:type="dxa" w:w="1512"/>
            <w:shd w:fill="auto" w:val="clear"/>
            <w:tcBorders>
              <w:top w:sz="4" w:val="single" w:color="000000"/>
              <w:left w:sz="4" w:val="single" w:color="000000"/>
              <w:bottom w:sz="4" w:val="double" w:color="000000"/>
              <w:right w:sz="4" w:val="single" w:color="000000"/>
            </w:tcBorders>
            <w:tcMar>
              <w:top w:w="100" w:type="dxa"/>
              <w:bottom w:w="100" w:type="dxa"/>
              <w:left w:w="150" w:type="dxa"/>
              <w:right w:w="150" w:type="dxa"/>
            </w:tcMar>
          </w:tcPr>
          <w:p>
            <w:pPr>
              <w:jc w:val="center"/>
            </w:pPr>
            <w:r>
              <w:rPr>
                <w:rFonts w:ascii="Times New Roman" w:hAnsi="Times New Roman"/>
                <w:b/>
                <w:i w:val="0"/>
                <w:color w:val="000000"/>
                <w:sz w:val="19"/>
              </w:rPr>
              <w:t>Tổng cộng</w:t>
            </w:r>
          </w:p>
        </w:tc>
        <w:tc>
          <w:tcPr>
            <w:tcW w:type="dxa" w:w="1512"/>
            <w:shd w:fill="auto" w:val="clear"/>
            <w:tcBorders>
              <w:top w:sz="4" w:val="single" w:color="000000"/>
              <w:left w:sz="4" w:val="single" w:color="000000"/>
              <w:bottom w:sz="4" w:val="double" w:color="000000"/>
              <w:right w:sz="4" w:val="single" w:color="000000"/>
            </w:tcBorders>
            <w:tcMar>
              <w:top w:w="100" w:type="dxa"/>
              <w:bottom w:w="100" w:type="dxa"/>
              <w:left w:w="150" w:type="dxa"/>
              <w:right w:w="150" w:type="dxa"/>
            </w:tcMar>
          </w:tcPr>
          <w:p>
            <w:pPr>
              <w:jc w:val="left"/>
            </w:pPr>
            <w:r>
              <w:rPr>
                <w:rFonts w:ascii="Times New Roman" w:hAnsi="Times New Roman"/>
                <w:b/>
                <w:i w:val="0"/>
                <w:color w:val="000000"/>
                <w:sz w:val="19"/>
              </w:rPr>
              <w:t>Toàn bộ 06 cột mốc tiến độ dự án</w:t>
            </w:r>
          </w:p>
        </w:tc>
        <w:tc>
          <w:tcPr>
            <w:tcW w:type="dxa" w:w="1512"/>
            <w:shd w:fill="auto" w:val="clear"/>
            <w:tcBorders>
              <w:top w:sz="4" w:val="single" w:color="000000"/>
              <w:left w:sz="4" w:val="single" w:color="000000"/>
              <w:bottom w:sz="4" w:val="double" w:color="000000"/>
              <w:right w:sz="4" w:val="single" w:color="000000"/>
            </w:tcBorders>
            <w:tcMar>
              <w:top w:w="100" w:type="dxa"/>
              <w:bottom w:w="100" w:type="dxa"/>
              <w:left w:w="150" w:type="dxa"/>
              <w:right w:w="150" w:type="dxa"/>
            </w:tcMar>
          </w:tcPr>
          <w:p>
            <w:pPr>
              <w:jc w:val="center"/>
            </w:pPr>
            <w:r>
              <w:rPr>
                <w:rFonts w:ascii="Times New Roman" w:hAnsi="Times New Roman"/>
                <w:b/>
                <w:i w:val="0"/>
                <w:color w:val="000000"/>
                <w:sz w:val="19"/>
              </w:rPr>
              <w:t>10/03/2027</w:t>
            </w:r>
          </w:p>
        </w:tc>
        <w:tc>
          <w:tcPr>
            <w:tcW w:type="dxa" w:w="1512"/>
            <w:shd w:fill="auto" w:val="clear"/>
            <w:tcBorders>
              <w:top w:sz="4" w:val="single" w:color="000000"/>
              <w:left w:sz="4" w:val="single" w:color="000000"/>
              <w:bottom w:sz="4" w:val="double" w:color="000000"/>
              <w:right w:sz="4" w:val="single" w:color="000000"/>
            </w:tcBorders>
            <w:tcMar>
              <w:top w:w="100" w:type="dxa"/>
              <w:bottom w:w="100" w:type="dxa"/>
              <w:left w:w="150" w:type="dxa"/>
              <w:right w:w="150" w:type="dxa"/>
            </w:tcMar>
          </w:tcPr>
          <w:p>
            <w:pPr>
              <w:jc w:val="left"/>
            </w:pPr>
            <w:r>
              <w:rPr>
                <w:rFonts w:ascii="Times New Roman" w:hAnsi="Times New Roman"/>
                <w:b/>
                <w:i w:val="0"/>
                <w:color w:val="000000"/>
                <w:sz w:val="19"/>
              </w:rPr>
              <w:t>Đủ 100% giá trị hợp đồng được phê duyệt theo Tôn chỉ dự án</w:t>
            </w:r>
          </w:p>
        </w:tc>
        <w:tc>
          <w:tcPr>
            <w:tcW w:type="dxa" w:w="1512"/>
            <w:shd w:fill="auto" w:val="clear"/>
            <w:tcBorders>
              <w:top w:sz="4" w:val="single" w:color="000000"/>
              <w:left w:sz="4" w:val="single" w:color="000000"/>
              <w:bottom w:sz="4" w:val="double" w:color="000000"/>
              <w:right w:sz="4" w:val="single" w:color="000000"/>
            </w:tcBorders>
            <w:tcMar>
              <w:top w:w="100" w:type="dxa"/>
              <w:bottom w:w="100" w:type="dxa"/>
              <w:left w:w="150" w:type="dxa"/>
              <w:right w:w="150" w:type="dxa"/>
            </w:tcMar>
          </w:tcPr>
          <w:p>
            <w:pPr>
              <w:jc w:val="right"/>
            </w:pPr>
            <w:r>
              <w:rPr>
                <w:rFonts w:ascii="Times New Roman" w:hAnsi="Times New Roman"/>
                <w:b/>
                <w:i w:val="0"/>
                <w:color w:val="000000"/>
                <w:sz w:val="19"/>
              </w:rPr>
              <w:t>100.00%</w:t>
            </w:r>
          </w:p>
        </w:tc>
        <w:tc>
          <w:tcPr>
            <w:tcW w:type="dxa" w:w="1512"/>
            <w:shd w:fill="auto" w:val="clear"/>
            <w:tcBorders>
              <w:top w:sz="4" w:val="single" w:color="000000"/>
              <w:left w:sz="4" w:val="single" w:color="000000"/>
              <w:bottom w:sz="4" w:val="double" w:color="000000"/>
              <w:right w:sz="4" w:val="single" w:color="000000"/>
            </w:tcBorders>
            <w:tcMar>
              <w:top w:w="100" w:type="dxa"/>
              <w:bottom w:w="100" w:type="dxa"/>
              <w:left w:w="150" w:type="dxa"/>
              <w:right w:w="150" w:type="dxa"/>
            </w:tcMar>
          </w:tcPr>
          <w:p>
            <w:pPr>
              <w:jc w:val="right"/>
            </w:pPr>
            <w:r>
              <w:rPr>
                <w:rFonts w:ascii="Times New Roman" w:hAnsi="Times New Roman"/>
                <w:b/>
                <w:i w:val="0"/>
                <w:color w:val="000000"/>
                <w:sz w:val="19"/>
              </w:rPr>
              <w:t>1.128.528.500</w:t>
            </w:r>
          </w:p>
        </w:tc>
      </w:tr>
    </w:tbl>
    <w:p>
      <w:pPr>
        <w:spacing w:after="80"/>
      </w:pPr>
    </w:p>
    <w:p>
      <w:pPr>
        <w:spacing w:before="120" w:after="60"/>
      </w:pPr>
      <w:r>
        <w:rPr>
          <w:rFonts w:ascii="Times New Roman" w:hAnsi="Times New Roman"/>
          <w:b/>
          <w:i w:val="0"/>
          <w:color w:val="000000"/>
          <w:sz w:val="24"/>
        </w:rPr>
        <w:t>Bảng 4.5b: Bảng dự báo dòng tiền 07 tháng của dự án (Phụ lục 4 - Mục II &amp; III)</w:t>
      </w:r>
    </w:p>
    <w:tbl>
      <w:tblPr>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i w:val="0"/>
                <w:color w:val="000000"/>
                <w:sz w:val="19"/>
              </w:rPr>
              <w:t>Tháng</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i w:val="0"/>
                <w:color w:val="000000"/>
                <w:sz w:val="19"/>
              </w:rPr>
              <w:t>Chi nhân công (đ)</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i w:val="0"/>
                <w:color w:val="000000"/>
                <w:sz w:val="19"/>
              </w:rPr>
              <w:t>Chi vật tư, TB (đ)</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i w:val="0"/>
                <w:color w:val="000000"/>
                <w:sz w:val="19"/>
              </w:rPr>
              <w:t>Chi khác (đ)</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i w:val="0"/>
                <w:color w:val="000000"/>
                <w:sz w:val="19"/>
              </w:rPr>
              <w:t>Tổng chi tháng (đ)</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i w:val="0"/>
                <w:color w:val="000000"/>
                <w:sz w:val="19"/>
              </w:rPr>
              <w:t>Thu trong tháng (đ)</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i w:val="0"/>
                <w:color w:val="000000"/>
                <w:sz w:val="19"/>
              </w:rPr>
              <w:t>Lũy kế Net (Thu − Chi)</w:t>
            </w:r>
          </w:p>
        </w:tc>
      </w:tr>
      <w:tr>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val="0"/>
                <w:i w:val="0"/>
                <w:color w:val="000000"/>
                <w:sz w:val="18"/>
              </w:rPr>
              <w:t>T09/2026</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55.000.000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19.000.000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5.000.000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79.000.000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225.705.700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+146.705.700</w:t>
            </w:r>
          </w:p>
        </w:tc>
      </w:tr>
      <w:tr>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val="0"/>
                <w:i w:val="0"/>
                <w:color w:val="000000"/>
                <w:sz w:val="18"/>
              </w:rPr>
              <w:t>T10/2026</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85.000.000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46.000.000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17.000.000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148.000.000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169.279.275</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+167.984.975</w:t>
            </w:r>
          </w:p>
        </w:tc>
      </w:tr>
      <w:tr>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val="0"/>
                <w:i w:val="0"/>
                <w:color w:val="000000"/>
                <w:sz w:val="18"/>
              </w:rPr>
              <w:t>T11/2026</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95.000.000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40.000.000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4.000.000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139.000.000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169.279.275</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+198.264.250</w:t>
            </w:r>
          </w:p>
        </w:tc>
      </w:tr>
      <w:tr>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val="0"/>
                <w:i w:val="0"/>
                <w:color w:val="000000"/>
                <w:sz w:val="18"/>
              </w:rPr>
              <w:t>T12/2026</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140.000.000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135.000.000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6.000.000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281.000.000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282.132.125</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+199.396.375</w:t>
            </w:r>
          </w:p>
        </w:tc>
      </w:tr>
      <w:tr>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val="0"/>
                <w:i w:val="0"/>
                <w:color w:val="000000"/>
                <w:sz w:val="18"/>
              </w:rPr>
              <w:t>T01/2027</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120.000.000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40.000.000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4.000.000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164.000.000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+35.396.375</w:t>
            </w:r>
          </w:p>
        </w:tc>
      </w:tr>
      <w:tr>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val="0"/>
                <w:i w:val="0"/>
                <w:color w:val="000000"/>
                <w:sz w:val="18"/>
              </w:rPr>
              <w:t>T02/2027</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110.000.000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70.000.000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22.000.000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202.000.000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225.705.700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+59.102.075</w:t>
            </w:r>
          </w:p>
        </w:tc>
      </w:tr>
      <w:tr>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center"/>
            </w:pPr>
            <w:r>
              <w:rPr>
                <w:rFonts w:ascii="Times New Roman" w:hAnsi="Times New Roman"/>
                <w:b w:val="0"/>
                <w:i w:val="0"/>
                <w:color w:val="000000"/>
                <w:sz w:val="18"/>
              </w:rPr>
              <w:t>T03/2027</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61.528.500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40.000.000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4.000.000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105.528.500</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56.426.425</w:t>
            </w:r>
          </w:p>
        </w:tc>
        <w:tc>
          <w:tcPr>
            <w:tcW w:type="dxa" w:w="1296"/>
            <w:shd w:fill="auto" w:val="clear"/>
            <w:tcBorders>
              <w:top w:sz="4" w:val="single" w:color="000000"/>
              <w:left w:sz="4" w:val="single" w:color="000000"/>
              <w:bottom w:sz="4" w:val="single" w:color="000000"/>
              <w:right w:sz="4" w:val="single" w:color="000000"/>
            </w:tcBorders>
            <w:tcMar>
              <w:top w:w="100" w:type="dxa"/>
              <w:bottom w:w="100" w:type="dxa"/>
              <w:left w:w="150" w:type="dxa"/>
              <w:right w:w="150" w:type="dxa"/>
            </w:tcMar>
          </w:tcPr>
          <w:p>
            <w:pPr>
              <w:jc w:val="right"/>
            </w:pPr>
            <w:r>
              <w:rPr>
                <w:rFonts w:ascii="Times New Roman" w:hAnsi="Times New Roman"/>
                <w:b w:val="0"/>
                <w:i w:val="0"/>
                <w:color w:val="000000"/>
                <w:sz w:val="18"/>
              </w:rPr>
              <w:t>+10.000.000</w:t>
            </w:r>
          </w:p>
        </w:tc>
      </w:tr>
      <w:tr>
        <w:tc>
          <w:tcPr>
            <w:tcW w:type="dxa" w:w="1296"/>
            <w:shd w:fill="auto" w:val="clear"/>
            <w:tcBorders>
              <w:top w:sz="4" w:val="single" w:color="000000"/>
              <w:left w:sz="4" w:val="single" w:color="000000"/>
              <w:bottom w:sz="4" w:val="double" w:color="000000"/>
              <w:right w:sz="4" w:val="single" w:color="000000"/>
            </w:tcBorders>
            <w:tcMar>
              <w:top w:w="100" w:type="dxa"/>
              <w:bottom w:w="100" w:type="dxa"/>
              <w:left w:w="150" w:type="dxa"/>
              <w:right w:w="150" w:type="dxa"/>
            </w:tcMar>
          </w:tcPr>
          <w:p>
            <w:pPr>
              <w:jc w:val="center"/>
            </w:pPr>
            <w:r>
              <w:rPr>
                <w:rFonts w:ascii="Times New Roman" w:hAnsi="Times New Roman"/>
                <w:b/>
                <w:i w:val="0"/>
                <w:color w:val="000000"/>
                <w:sz w:val="18"/>
              </w:rPr>
              <w:t>Tổng cộng</w:t>
            </w:r>
          </w:p>
        </w:tc>
        <w:tc>
          <w:tcPr>
            <w:tcW w:type="dxa" w:w="1296"/>
            <w:shd w:fill="auto" w:val="clear"/>
            <w:tcBorders>
              <w:top w:sz="4" w:val="single" w:color="000000"/>
              <w:left w:sz="4" w:val="single" w:color="000000"/>
              <w:bottom w:sz="4" w:val="double" w:color="000000"/>
              <w:right w:sz="4" w:val="single" w:color="000000"/>
            </w:tcBorders>
            <w:tcMar>
              <w:top w:w="100" w:type="dxa"/>
              <w:bottom w:w="100" w:type="dxa"/>
              <w:left w:w="150" w:type="dxa"/>
              <w:right w:w="150" w:type="dxa"/>
            </w:tcMar>
          </w:tcPr>
          <w:p>
            <w:pPr>
              <w:jc w:val="right"/>
            </w:pPr>
            <w:r>
              <w:rPr>
                <w:rFonts w:ascii="Times New Roman" w:hAnsi="Times New Roman"/>
                <w:b/>
                <w:i w:val="0"/>
                <w:color w:val="000000"/>
                <w:sz w:val="18"/>
              </w:rPr>
              <w:t>666.528.500</w:t>
            </w:r>
          </w:p>
        </w:tc>
        <w:tc>
          <w:tcPr>
            <w:tcW w:type="dxa" w:w="1296"/>
            <w:shd w:fill="auto" w:val="clear"/>
            <w:tcBorders>
              <w:top w:sz="4" w:val="single" w:color="000000"/>
              <w:left w:sz="4" w:val="single" w:color="000000"/>
              <w:bottom w:sz="4" w:val="double" w:color="000000"/>
              <w:right w:sz="4" w:val="single" w:color="000000"/>
            </w:tcBorders>
            <w:tcMar>
              <w:top w:w="100" w:type="dxa"/>
              <w:bottom w:w="100" w:type="dxa"/>
              <w:left w:w="150" w:type="dxa"/>
              <w:right w:w="150" w:type="dxa"/>
            </w:tcMar>
          </w:tcPr>
          <w:p>
            <w:pPr>
              <w:jc w:val="right"/>
            </w:pPr>
            <w:r>
              <w:rPr>
                <w:rFonts w:ascii="Times New Roman" w:hAnsi="Times New Roman"/>
                <w:b/>
                <w:i w:val="0"/>
                <w:color w:val="000000"/>
                <w:sz w:val="18"/>
              </w:rPr>
              <w:t>390.000.000</w:t>
            </w:r>
          </w:p>
        </w:tc>
        <w:tc>
          <w:tcPr>
            <w:tcW w:type="dxa" w:w="1296"/>
            <w:shd w:fill="auto" w:val="clear"/>
            <w:tcBorders>
              <w:top w:sz="4" w:val="single" w:color="000000"/>
              <w:left w:sz="4" w:val="single" w:color="000000"/>
              <w:bottom w:sz="4" w:val="double" w:color="000000"/>
              <w:right w:sz="4" w:val="single" w:color="000000"/>
            </w:tcBorders>
            <w:tcMar>
              <w:top w:w="100" w:type="dxa"/>
              <w:bottom w:w="100" w:type="dxa"/>
              <w:left w:w="150" w:type="dxa"/>
              <w:right w:w="150" w:type="dxa"/>
            </w:tcMar>
          </w:tcPr>
          <w:p>
            <w:pPr>
              <w:jc w:val="right"/>
            </w:pPr>
            <w:r>
              <w:rPr>
                <w:rFonts w:ascii="Times New Roman" w:hAnsi="Times New Roman"/>
                <w:b/>
                <w:i w:val="0"/>
                <w:color w:val="000000"/>
                <w:sz w:val="18"/>
              </w:rPr>
              <w:t>62.000.000</w:t>
            </w:r>
          </w:p>
        </w:tc>
        <w:tc>
          <w:tcPr>
            <w:tcW w:type="dxa" w:w="1296"/>
            <w:shd w:fill="auto" w:val="clear"/>
            <w:tcBorders>
              <w:top w:sz="4" w:val="single" w:color="000000"/>
              <w:left w:sz="4" w:val="single" w:color="000000"/>
              <w:bottom w:sz="4" w:val="double" w:color="000000"/>
              <w:right w:sz="4" w:val="single" w:color="000000"/>
            </w:tcBorders>
            <w:tcMar>
              <w:top w:w="100" w:type="dxa"/>
              <w:bottom w:w="100" w:type="dxa"/>
              <w:left w:w="150" w:type="dxa"/>
              <w:right w:w="150" w:type="dxa"/>
            </w:tcMar>
          </w:tcPr>
          <w:p>
            <w:pPr>
              <w:jc w:val="right"/>
            </w:pPr>
            <w:r>
              <w:rPr>
                <w:rFonts w:ascii="Times New Roman" w:hAnsi="Times New Roman"/>
                <w:b/>
                <w:i w:val="0"/>
                <w:color w:val="000000"/>
                <w:sz w:val="18"/>
              </w:rPr>
              <w:t>1.118.528.500</w:t>
            </w:r>
          </w:p>
        </w:tc>
        <w:tc>
          <w:tcPr>
            <w:tcW w:type="dxa" w:w="1296"/>
            <w:shd w:fill="auto" w:val="clear"/>
            <w:tcBorders>
              <w:top w:sz="4" w:val="single" w:color="000000"/>
              <w:left w:sz="4" w:val="single" w:color="000000"/>
              <w:bottom w:sz="4" w:val="double" w:color="000000"/>
              <w:right w:sz="4" w:val="single" w:color="000000"/>
            </w:tcBorders>
            <w:tcMar>
              <w:top w:w="100" w:type="dxa"/>
              <w:bottom w:w="100" w:type="dxa"/>
              <w:left w:w="150" w:type="dxa"/>
              <w:right w:w="150" w:type="dxa"/>
            </w:tcMar>
          </w:tcPr>
          <w:p>
            <w:pPr>
              <w:jc w:val="right"/>
            </w:pPr>
            <w:r>
              <w:rPr>
                <w:rFonts w:ascii="Times New Roman" w:hAnsi="Times New Roman"/>
                <w:b/>
                <w:i w:val="0"/>
                <w:color w:val="000000"/>
                <w:sz w:val="18"/>
              </w:rPr>
              <w:t>1.128.528.500</w:t>
            </w:r>
          </w:p>
        </w:tc>
        <w:tc>
          <w:tcPr>
            <w:tcW w:type="dxa" w:w="1296"/>
            <w:shd w:fill="auto" w:val="clear"/>
            <w:tcBorders>
              <w:top w:sz="4" w:val="single" w:color="000000"/>
              <w:left w:sz="4" w:val="single" w:color="000000"/>
              <w:bottom w:sz="4" w:val="double" w:color="000000"/>
              <w:right w:sz="4" w:val="single" w:color="000000"/>
            </w:tcBorders>
            <w:tcMar>
              <w:top w:w="100" w:type="dxa"/>
              <w:bottom w:w="100" w:type="dxa"/>
              <w:left w:w="150" w:type="dxa"/>
              <w:right w:w="150" w:type="dxa"/>
            </w:tcMar>
          </w:tcPr>
          <w:p>
            <w:pPr>
              <w:jc w:val="right"/>
            </w:pPr>
            <w:r>
              <w:rPr>
                <w:rFonts w:ascii="Times New Roman" w:hAnsi="Times New Roman"/>
                <w:b/>
                <w:i w:val="0"/>
                <w:color w:val="000000"/>
                <w:sz w:val="18"/>
              </w:rPr>
              <w:t>+10.000.000</w:t>
            </w:r>
          </w:p>
        </w:tc>
      </w:tr>
    </w:tbl>
    <w:p>
      <w:pPr>
        <w:spacing w:after="80"/>
      </w:pPr>
    </w:p>
    <w:p>
      <w:pPr>
        <w:spacing w:before="120" w:after="60"/>
      </w:pPr>
      <w:r>
        <w:rPr>
          <w:rFonts w:ascii="Times New Roman" w:hAnsi="Times New Roman"/>
          <w:b/>
          <w:i w:val="0"/>
          <w:color w:val="000000"/>
          <w:sz w:val="24"/>
        </w:rPr>
        <w:t>Hệ thống kiểm soát chi phí (EVM) và 7 chỉ tiêu đối chiếu kiểm soát chéo:</w:t>
      </w:r>
    </w:p>
    <w:p>
      <w:pPr>
        <w:spacing w:line="276" w:lineRule="auto" w:after="80"/>
        <w:jc w:val="both"/>
      </w:pPr>
      <w:r>
        <w:rPr>
          <w:rFonts w:ascii="Times New Roman" w:hAnsi="Times New Roman"/>
          <w:b/>
          <w:i w:val="0"/>
          <w:color w:val="000000"/>
          <w:sz w:val="24"/>
        </w:rPr>
        <w:t xml:space="preserve">• Quản lý giá trị thu được (EVM - Earned Value Management): </w:t>
      </w:r>
      <w:r>
        <w:rPr>
          <w:rFonts w:ascii="Times New Roman" w:hAnsi="Times New Roman"/>
          <w:b w:val="0"/>
          <w:i w:val="0"/>
          <w:color w:val="000000"/>
          <w:sz w:val="24"/>
        </w:rPr>
        <w:t>Thiết lập chỉ số hiệu suất chi phí CPI = EV / AC (mục tiêu đạt 1.00 – 1.05) và chỉ số tiến độ SPI = EV / PV (mục tiêu đạt 1.00). Khi CPI &lt; 0.95 hoặc SPI &lt; 0.95, Giám đốc dự án (PM Nguyễn Quốc Hội) kích hoạt quy trình điều chỉnh cân bằng tải tài nguyên và tối ưu hóa hạ tầng Cloud để đưa dự án trở lại đường cơ sở chi phí (Cost Baseline).</w:t>
      </w:r>
    </w:p>
    <w:p>
      <w:pPr>
        <w:spacing w:line="276" w:lineRule="auto" w:after="80"/>
        <w:jc w:val="both"/>
      </w:pPr>
      <w:r>
        <w:rPr>
          <w:rFonts w:ascii="Times New Roman" w:hAnsi="Times New Roman"/>
          <w:b/>
          <w:i w:val="0"/>
          <w:color w:val="000000"/>
          <w:sz w:val="24"/>
        </w:rPr>
        <w:t xml:space="preserve">• Kết quả 7 chỉ tiêu đối chiếu toàn vẹn (Cross-check Indicators tại tab KeHoachThanhToan): </w:t>
      </w:r>
      <w:r>
        <w:rPr>
          <w:rFonts w:ascii="Times New Roman" w:hAnsi="Times New Roman"/>
          <w:b w:val="0"/>
          <w:i w:val="0"/>
          <w:color w:val="000000"/>
          <w:sz w:val="24"/>
        </w:rPr>
        <w:t>(1) Chênh lệch chi công lao động so với sheet CongLaoDong = 0 đ; (2) Chênh lệch chi vật tư, thiết bị so với sheet Thiết bị vật tư = 0 đ; (3) Chênh lệch chi khác thực tế so với sheet Chi khác = 0 đ; (4) Chênh lệch tổng thu so với giá trị hợp đồng = 0 đ; (5) Chênh lệch lũy kế cuối dự án so với Quỹ dự phòng = 0 đ (phần dư cuối kỳ đúng bằng 10.000.000 đ của Quỹ dự phòng chưa sử dụng); (6) Số tháng có chênh lệch lũy kế thu - chi âm = 0 tháng; (7) Chênh lệch lũy kế thu - chi thấp nhất trong kỳ đạt +10.000.000 đ (biên an toàn vốn luôn dương xuyên suốt 07 tháng thực hiện đề tài).</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CFAAC73-E4D2-4EE7-AE2F-FAEC9F76894A}"/>
</file>

<file path=customXml/itemProps3.xml><?xml version="1.0" encoding="utf-8"?>
<ds:datastoreItem xmlns:ds="http://schemas.openxmlformats.org/officeDocument/2006/customXml" ds:itemID="{8C572148-C1BA-434C-AA64-2D8076C9B6B8}"/>
</file>

<file path=customXml/itemProps4.xml><?xml version="1.0" encoding="utf-8"?>
<ds:datastoreItem xmlns:ds="http://schemas.openxmlformats.org/officeDocument/2006/customXml" ds:itemID="{D5299E88-5589-4298-B947-51F6FFE7C0D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