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Times New Roman" w:hAnsi="Times New Roman"/>
          <w:b/>
          <w:i w:val="0"/>
          <w:color w:val="000000"/>
          <w:sz w:val="29"/>
        </w:rPr>
        <w:t>TÀI LIỆU QUẢN LÝ RỦI RO DỰ ÁN</w:t>
      </w:r>
    </w:p>
    <w:p>
      <w:pPr>
        <w:spacing w:before="0" w:after="60" w:line="276" w:lineRule="auto"/>
        <w:jc w:val="center"/>
      </w:pPr>
      <w:r>
        <w:rPr>
          <w:rFonts w:ascii="Times New Roman" w:hAnsi="Times New Roman"/>
          <w:b/>
          <w:i w:val="0"/>
          <w:color w:val="000000"/>
          <w:sz w:val="24"/>
        </w:rPr>
        <w:t>Đề tài: Quản lý dự án: Xây dựng hệ thống quản lý và kết nối dữ liệu dự án xây dựng</w:t>
      </w:r>
    </w:p>
    <w:p>
      <w:pPr>
        <w:spacing w:before="0" w:after="240" w:line="276" w:lineRule="auto"/>
        <w:jc w:val="center"/>
      </w:pPr>
      <w:r>
        <w:rPr>
          <w:rFonts w:ascii="Times New Roman" w:hAnsi="Times New Roman"/>
          <w:b w:val="0"/>
          <w:i/>
          <w:color w:val="000000"/>
          <w:sz w:val="22"/>
        </w:rPr>
        <w:t>Mã số đề tài: CNTT20261_N10 | Học phần: Quản trị dự án CNTT - Nhóm 10</w:t>
      </w:r>
    </w:p>
    <w:p>
      <w:pPr>
        <w:spacing w:before="120" w:after="80" w:line="276" w:lineRule="auto"/>
        <w:jc w:val="both"/>
      </w:pPr>
      <w:r>
        <w:rPr>
          <w:rFonts w:ascii="Times New Roman" w:hAnsi="Times New Roman"/>
          <w:b/>
          <w:i w:val="0"/>
          <w:color w:val="000000"/>
          <w:sz w:val="25"/>
        </w:rPr>
        <w:t>LỜI MỞ ĐẦU &amp; NGUYÊN TẮC QUẢN TRỊ RỦI RO CHỦ ĐỘNG</w:t>
      </w:r>
    </w:p>
    <w:p>
      <w:pPr>
        <w:spacing w:before="0" w:after="80" w:line="276" w:lineRule="auto"/>
        <w:jc w:val="both"/>
      </w:pPr>
      <w:r>
        <w:rPr>
          <w:rFonts w:ascii="Times New Roman" w:hAnsi="Times New Roman"/>
          <w:b w:val="0"/>
          <w:i w:val="0"/>
          <w:color w:val="000000"/>
          <w:sz w:val="24"/>
        </w:rPr>
        <w:t>Trong quá trình thực hiện dự án Công nghệ thông tin có tính phức tạp kỹ thuật cao như 'Hệ thống quản lý và kết nối dữ liệu dự án xây dựng' (IDD Platform - Mã số: CNTT20261_N10), rủi ro luôn tiềm ẩn ở mọi giai đoạn từ khảo sát đến triển khai. Tôn chỉ quản trị rủi ro của Nhóm 10 là 'Chủ động nhận diện - Lượng hóa chính xác - Ứng phó theo chiến lược PMI - Giám sát liên tục'. Kế hoạch quản lý rủi ro này xác lập quy trình nhận diện, đánh giá xác suất - tác động (P x I), xây dựng Sổ đăng ký rủi ro (Risk Register) và cơ chế kích hoạt các biện pháp can thiệp tức thì nhằm bảo vệ tuyệt đối mục tiêu tiến độ, chất lượng và ngân sách 1.128.528.500 VNĐ.</w:t>
      </w:r>
    </w:p>
    <w:p>
      <w:pPr>
        <w:spacing w:before="240" w:after="120" w:line="276" w:lineRule="auto"/>
        <w:jc w:val="both"/>
      </w:pPr>
      <w:r>
        <w:rPr>
          <w:rFonts w:ascii="Times New Roman" w:hAnsi="Times New Roman"/>
          <w:b/>
          <w:i w:val="0"/>
          <w:color w:val="000000"/>
          <w:sz w:val="27"/>
        </w:rPr>
        <w:t>CHƯƠNG 7: QUẢN LÝ RỦI RO</w:t>
      </w:r>
    </w:p>
    <w:p>
      <w:pPr>
        <w:spacing w:before="160" w:after="80" w:line="276" w:lineRule="auto"/>
        <w:jc w:val="both"/>
      </w:pPr>
      <w:r>
        <w:rPr>
          <w:rFonts w:ascii="Times New Roman" w:hAnsi="Times New Roman"/>
          <w:b/>
          <w:i w:val="0"/>
          <w:color w:val="000000"/>
          <w:sz w:val="25"/>
        </w:rPr>
        <w:t>7.1. Nhận diện và phân loại rủi ro</w:t>
      </w:r>
    </w:p>
    <w:p>
      <w:pPr>
        <w:spacing w:before="0" w:after="80" w:line="276" w:lineRule="auto"/>
        <w:jc w:val="both"/>
      </w:pPr>
      <w:r>
        <w:rPr>
          <w:rFonts w:ascii="Times New Roman" w:hAnsi="Times New Roman"/>
          <w:b w:val="0"/>
          <w:i w:val="0"/>
          <w:color w:val="000000"/>
          <w:sz w:val="24"/>
        </w:rPr>
        <w:t>Dự án áp dụng phương pháp Phân rã cấu trúc rủi ro (Risk Breakdown Structure - RBS) và kỹ thuật động não chuyên gia (Brainstorming) để nhận diện và phân loại rủi ro thành 04 nhóm chính:</w:t>
      </w:r>
    </w:p>
    <w:p>
      <w:pPr>
        <w:spacing w:before="0" w:after="80" w:line="276" w:lineRule="auto"/>
        <w:jc w:val="both"/>
      </w:pPr>
      <w:r>
        <w:rPr>
          <w:rFonts w:ascii="Times New Roman" w:hAnsi="Times New Roman"/>
          <w:b w:val="0"/>
          <w:i w:val="0"/>
          <w:color w:val="000000"/>
          <w:sz w:val="24"/>
        </w:rPr>
        <w:t>1. Rủi ro Kỹ thuật &amp; Công nghệ (TEC): Các nguy cơ liên quan đến việc render mô hình BIM 3D WebGL trên trình duyệt yếu, tương thích định dạng tệp IFC/Revit, mất mát dữ liệu hoặc quá tải hạ tầng máy chủ CDE.</w:t>
      </w:r>
    </w:p>
    <w:p>
      <w:pPr>
        <w:spacing w:before="0" w:after="80" w:line="276" w:lineRule="auto"/>
        <w:jc w:val="both"/>
      </w:pPr>
      <w:r>
        <w:rPr>
          <w:rFonts w:ascii="Times New Roman" w:hAnsi="Times New Roman"/>
          <w:b w:val="0"/>
          <w:i w:val="0"/>
          <w:color w:val="000000"/>
          <w:sz w:val="24"/>
        </w:rPr>
        <w:t>2. Rủi ro Tiến độ &amp; Thời gian (SCH): Chậm trễ tại các gói công việc nằm trên đường găng CPM (Critical Path), tắc nghẽn trong khâu tích hợp API hoặc chậm phê duyệt tài liệu SRS.</w:t>
      </w:r>
    </w:p>
    <w:p>
      <w:pPr>
        <w:spacing w:before="0" w:after="80" w:line="276" w:lineRule="auto"/>
        <w:jc w:val="both"/>
      </w:pPr>
      <w:r>
        <w:rPr>
          <w:rFonts w:ascii="Times New Roman" w:hAnsi="Times New Roman"/>
          <w:b w:val="0"/>
          <w:i w:val="0"/>
          <w:color w:val="000000"/>
          <w:sz w:val="24"/>
        </w:rPr>
        <w:t>3. Rủi ro Chi phí &amp; Ngân sách (CST): Chi phí thuê hạ tầng máy chủ Cloud Dedicated GPU bị phát sinh vượt định mức, thay đổi chính sách giá bản quyền phần mềm kiểm thử hoặc chi phí bảo trì.</w:t>
      </w:r>
    </w:p>
    <w:p>
      <w:pPr>
        <w:spacing w:before="0" w:after="80" w:line="276" w:lineRule="auto"/>
        <w:jc w:val="both"/>
      </w:pPr>
      <w:r>
        <w:rPr>
          <w:rFonts w:ascii="Times New Roman" w:hAnsi="Times New Roman"/>
          <w:b w:val="0"/>
          <w:i w:val="0"/>
          <w:color w:val="000000"/>
          <w:sz w:val="24"/>
        </w:rPr>
        <w:t>4. Rủi ro Tổ chức, Nhân sự &amp; Quản lý (ORG): Thành viên nhóm gặp sự cố cá nhân/sức khỏe, xung đột phân công công việc hoặc thay đổi yêu cầu đột xuất từ phía chuyên gia tham vấn.</w:t>
      </w:r>
    </w:p>
    <w:p>
      <w:pPr>
        <w:spacing w:before="120" w:after="60" w:line="276" w:lineRule="auto"/>
        <w:jc w:val="both"/>
      </w:pPr>
      <w:r>
        <w:rPr>
          <w:rFonts w:ascii="Times New Roman" w:hAnsi="Times New Roman"/>
          <w:b/>
          <w:i w:val="0"/>
          <w:color w:val="000000"/>
          <w:sz w:val="22"/>
        </w:rPr>
        <w:t>Bảng 7.1: Sổ đăng ký rủi ro (Risk Register) dự án CNTT20261_N10</w:t>
      </w:r>
    </w:p>
    <w:tbl>
      <w:tblPr>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Mã RR</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Nhóm rủi ro</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Tên sự kiện rủi ro</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Nguyên nhân gốc rễ</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Hậu quả tác động tiềm ẩn</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Kỹ thuật (TEC)</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Mô hình BIM 3D load chậm hoặc crash trình duyệt</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File IFC công trình lớn (&gt; 100MB), máy tính client yếu</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Trải nghiệm người dùng kém, không đạt tiêu chí thời gian tải &lt; 3s.</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R02</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Kỹ thuật (TEC)</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Xung đột tích hợp dữ liệu Autodesk ACC API Gateway</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Chính sách API thay đổi hoặc giới hạn Request Rate Limit</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Gián đoạn đồng bộ mô hình BIM giữa nền tảng Autodesk và Web IDD.</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R03</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Kỹ thuật (TEC)</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Lỗ hổng bảo mật rò rỉ hồ sơ dự án xây dựng</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Cấu hình phân quyền CDE sai sót, lộ Token xác thực JWT</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Lộ lọt thông tin đấu thầu, bản vẽ mật của dự án công trình.</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R04</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Tiến độ (SCH)</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Chậm tiến độ gói tích hợp BIM 3D (WBS 41)</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Thuật toán xử lý parse hình học 3D phức tạp ngoài dự kiến</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Trễ đường găng CPM 07 ngày, kéo lùi toàn bộ tiến độ kiểm thử.</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R05</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Tiến độ (SCH)</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Khách hàng / GVHD chậm phản hồi tài liệu SRS/Mockup</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Lịch công tác của GVHD và chuyên gia đối tác bận rộn</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Kéo dài giai đoạn khảo sát và thiết kế giao diện UI/UX.</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R06</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Chi phí (CST)</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Chi phí máy chủ Cloud GPU vượt hạn mức</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Dung lượng mô hình lưu trữ CDE tăng nhanh, GPU chạy liên tục</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Vượt ngân sách Khoản 2, ảnh hưởng đến quỹ dự phòng.</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R07</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Nhân sự (ORG)</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Thành viên cốt lõi quá tải hoặc nghỉ ốm đột xuất</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Áp lực học tập dồn dập trong kỳ thi, thời gian biểu dày đặc</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Gói công việc bị đình trệ, thiếu người review code và fix bug.</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R08</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Quản lý (ORG)</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Xung đột quan điểm thiết kế CSDL và luồng duyệt RFI</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Góc nhìn nghiệp vụ xây dựng và góc nhìn lập trình viên khác nhau</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Mất thời gian tranh luận, làm chậm tiến độ Sprint.</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R09</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Chất lượng (TEC)</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Dữ liệu mô hình không chuẩn hóa theo ISO 19650</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Người dùng tải file BIM tự do không tuân thủ 7 trường quy định</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Mất tính toàn vẹn dữ liệu, khó khăn cho công tác tìm kiếm tài liệu.</w:t>
            </w:r>
          </w:p>
        </w:tc>
      </w:tr>
      <w:tr>
        <w:trPr>
          <w:cantSplit/>
        </w:trPr>
        <w:tc>
          <w:tcPr>
            <w:tcW w:type="dxa" w:w="100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R10</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Tiến độ (SCH)</w:t>
            </w:r>
          </w:p>
        </w:tc>
        <w:tc>
          <w:tcPr>
            <w:tcW w:type="dxa" w:w="316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Triển khai Staging Docker gặp lỗi môi trường mạng</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Cấu hình mạng nội bộ và chứng chỉ bảo mật SSL bị xung đột</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Chậm trễ phiên nghiệm thu cơ sở và demo thử nghiệm.</w:t>
            </w:r>
          </w:p>
        </w:tc>
      </w:tr>
    </w:tbl>
    <w:p>
      <w:pPr>
        <w:spacing w:before="160" w:after="80" w:line="276" w:lineRule="auto"/>
        <w:jc w:val="both"/>
      </w:pPr>
      <w:r>
        <w:rPr>
          <w:rFonts w:ascii="Times New Roman" w:hAnsi="Times New Roman"/>
          <w:b/>
          <w:i w:val="0"/>
          <w:color w:val="000000"/>
          <w:sz w:val="25"/>
        </w:rPr>
        <w:t>7.2. Ma trận đánh giá xác suất và mức độ tác động</w:t>
      </w:r>
    </w:p>
    <w:p>
      <w:pPr>
        <w:spacing w:before="0" w:after="80" w:line="276" w:lineRule="auto"/>
        <w:jc w:val="both"/>
      </w:pPr>
      <w:r>
        <w:rPr>
          <w:rFonts w:ascii="Times New Roman" w:hAnsi="Times New Roman"/>
          <w:b w:val="0"/>
          <w:i w:val="0"/>
          <w:color w:val="000000"/>
          <w:sz w:val="24"/>
        </w:rPr>
        <w:t>Mỗi rủi ro nhận diện được định lượng thông qua hai chỉ số trên thang điểm 5 mức độ:</w:t>
      </w:r>
    </w:p>
    <w:p>
      <w:pPr>
        <w:spacing w:before="0" w:after="80" w:line="276" w:lineRule="auto"/>
        <w:jc w:val="both"/>
      </w:pPr>
      <w:r>
        <w:rPr>
          <w:rFonts w:ascii="Times New Roman" w:hAnsi="Times New Roman"/>
          <w:b w:val="0"/>
          <w:i w:val="0"/>
          <w:color w:val="000000"/>
          <w:sz w:val="24"/>
        </w:rPr>
        <w:t>- Xác suất xảy ra (Probability - P): 1 (Rất thấp / Hiếm khi &lt; 10%), 2 (Thấp 10-30%), 3 (Trung bình 30-50%), 4 (Cao 50-70%), 5 (Rất cao &gt; 70%).</w:t>
      </w:r>
    </w:p>
    <w:p>
      <w:pPr>
        <w:spacing w:before="0" w:after="80" w:line="276" w:lineRule="auto"/>
        <w:jc w:val="both"/>
      </w:pPr>
      <w:r>
        <w:rPr>
          <w:rFonts w:ascii="Times New Roman" w:hAnsi="Times New Roman"/>
          <w:b w:val="0"/>
          <w:i w:val="0"/>
          <w:color w:val="000000"/>
          <w:sz w:val="24"/>
        </w:rPr>
        <w:t>- Mức độ tác động (Impact - I): 1 (Không đáng kể), 2 (Nhẹ), 3 (Trung bình), 4 (Nghiêm trọng), 5 (Thảm họa / Đình trệ toàn diện).</w:t>
      </w:r>
    </w:p>
    <w:p>
      <w:pPr>
        <w:spacing w:before="0" w:after="80" w:line="276" w:lineRule="auto"/>
        <w:jc w:val="both"/>
      </w:pPr>
      <w:r>
        <w:rPr>
          <w:rFonts w:ascii="Times New Roman" w:hAnsi="Times New Roman"/>
          <w:b w:val="0"/>
          <w:i w:val="0"/>
          <w:color w:val="000000"/>
          <w:sz w:val="24"/>
        </w:rPr>
        <w:t>- Điểm số mức độ rủi ro (Risk Score) = P x I (Dao động từ 1 đến 25).</w:t>
      </w:r>
    </w:p>
    <w:p>
      <w:pPr>
        <w:spacing w:before="0" w:after="80" w:line="276" w:lineRule="auto"/>
        <w:jc w:val="both"/>
      </w:pPr>
      <w:r>
        <w:rPr>
          <w:rFonts w:ascii="Times New Roman" w:hAnsi="Times New Roman"/>
          <w:b w:val="0"/>
          <w:i w:val="0"/>
          <w:color w:val="000000"/>
          <w:sz w:val="24"/>
        </w:rPr>
        <w:t>Phân vùng ngưỡng rủi ro theo chuẩn PMI:</w:t>
      </w:r>
    </w:p>
    <w:p>
      <w:pPr>
        <w:spacing w:before="0" w:after="80" w:line="276" w:lineRule="auto"/>
        <w:jc w:val="both"/>
      </w:pPr>
      <w:r>
        <w:rPr>
          <w:rFonts w:ascii="Times New Roman" w:hAnsi="Times New Roman"/>
          <w:b w:val="0"/>
          <w:i w:val="0"/>
          <w:color w:val="000000"/>
          <w:sz w:val="24"/>
        </w:rPr>
        <w:t>+ Vùng Thấp (Xanh: Điểm từ 1 - 6): Mức độ chấp nhận được, duy trì giám sát định kỳ.</w:t>
      </w:r>
    </w:p>
    <w:p>
      <w:pPr>
        <w:spacing w:before="0" w:after="80" w:line="276" w:lineRule="auto"/>
        <w:jc w:val="both"/>
      </w:pPr>
      <w:r>
        <w:rPr>
          <w:rFonts w:ascii="Times New Roman" w:hAnsi="Times New Roman"/>
          <w:b w:val="0"/>
          <w:i w:val="0"/>
          <w:color w:val="000000"/>
          <w:sz w:val="24"/>
        </w:rPr>
        <w:t>+ Vùng Trung bình (Vàng: Điểm từ 8 - 12): Cần phương án giảm thiểu và theo dõi chặt chẽ hàng tuần.</w:t>
      </w:r>
    </w:p>
    <w:p>
      <w:pPr>
        <w:spacing w:before="0" w:after="80" w:line="276" w:lineRule="auto"/>
        <w:jc w:val="both"/>
      </w:pPr>
      <w:r>
        <w:rPr>
          <w:rFonts w:ascii="Times New Roman" w:hAnsi="Times New Roman"/>
          <w:b w:val="0"/>
          <w:i w:val="0"/>
          <w:color w:val="000000"/>
          <w:sz w:val="24"/>
        </w:rPr>
        <w:t>+ Vùng Nguy cấp (Đỏ: Điểm từ 15 - 25): Ngưỡng can thiệp khẩn cấp (Critical Threshold &gt;= 15), Giám đốc dự án phải áp dụng biện pháp đối phó ngay lập tức.</w:t>
      </w:r>
    </w:p>
    <w:p>
      <w:pPr>
        <w:spacing w:before="120" w:after="60" w:line="276" w:lineRule="auto"/>
        <w:jc w:val="both"/>
      </w:pPr>
      <w:r>
        <w:rPr>
          <w:rFonts w:ascii="Times New Roman" w:hAnsi="Times New Roman"/>
          <w:b/>
          <w:i w:val="0"/>
          <w:color w:val="000000"/>
          <w:sz w:val="22"/>
        </w:rPr>
        <w:t>Bảng 7.2: Bảng đánh giá định lượng điểm số và mức độ ưu tiên của 10 rủi ro</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Mã RR</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Tên sự kiện rủi ro</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Xác suất (P)</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Tác động (I)</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Điểm (P x I)</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Phân vùng rủi ro</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Mức ưu tiên</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R01</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Mô hình BIM 3D load chậm / crash</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16</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 cấp (Vùng Đỏ)</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1 (Cao nhất)</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R04</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Chậm tiến độ gói tích hợp BIM 3D (WBS 41)</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5</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15</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 cấp (Vùng Đỏ)</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2</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R03</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Lỗ hổng bảo mật rò rỉ hồ sơ CDE</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5</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10</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Trung bình (Vùng Vàng)</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3</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R02</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Xung đột API Autodesk ACC Gateway</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9</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Trung bình (Vùng Vàng)</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4</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R06</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Chi phí Cloud Server GPU vượt hạn mức</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9</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Trung bình (Vùng Vàng)</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5</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R07</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Thành viên quá tải / nghỉ ốm đột xuất</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9</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Trung bình (Vùng Vàng)</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6</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R05</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Chậm phản hồi tham vấn từ khách hàng</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6</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Thấp (Vùng Xanh)</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7</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R09</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Dữ liệu không chuẩn hóa theo ISO 19650</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6</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Thấp (Vùng Xanh)</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8</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R08</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Xung đột quan điểm thiết kế nội bộ</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Thấp (Vùng Xanh)</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9</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R10</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Lỗi môi trường mạng khi triển khai Staging</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230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Thấp (Vùng Xanh)</w:t>
            </w:r>
          </w:p>
        </w:tc>
        <w:tc>
          <w:tcPr>
            <w:tcW w:type="dxa" w:w="216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Ưu tiên 10</w:t>
            </w:r>
          </w:p>
        </w:tc>
      </w:tr>
    </w:tbl>
    <w:p>
      <w:pPr>
        <w:spacing w:before="160" w:after="80" w:line="276" w:lineRule="auto"/>
        <w:jc w:val="both"/>
      </w:pPr>
      <w:r>
        <w:rPr>
          <w:rFonts w:ascii="Times New Roman" w:hAnsi="Times New Roman"/>
          <w:b/>
          <w:i w:val="0"/>
          <w:color w:val="000000"/>
          <w:sz w:val="25"/>
        </w:rPr>
        <w:t>7.3. Kế hoạch ứng phó và giám sát rủi ro</w:t>
      </w:r>
    </w:p>
    <w:p>
      <w:pPr>
        <w:spacing w:before="0" w:after="80" w:line="276" w:lineRule="auto"/>
        <w:jc w:val="both"/>
      </w:pPr>
      <w:r>
        <w:rPr>
          <w:rFonts w:ascii="Times New Roman" w:hAnsi="Times New Roman"/>
          <w:b w:val="0"/>
          <w:i w:val="0"/>
          <w:color w:val="000000"/>
          <w:sz w:val="24"/>
        </w:rPr>
        <w:t>Dự án thiết lập kế hoạch ứng phó chủ động dựa trên 04 chiến lược quản trị rủi ro tiêu chuẩn của PMI (Project Management Institute):</w:t>
      </w:r>
    </w:p>
    <w:p>
      <w:pPr>
        <w:spacing w:before="0" w:after="80" w:line="276" w:lineRule="auto"/>
        <w:jc w:val="both"/>
      </w:pPr>
      <w:r>
        <w:rPr>
          <w:rFonts w:ascii="Times New Roman" w:hAnsi="Times New Roman"/>
          <w:b w:val="0"/>
          <w:i w:val="0"/>
          <w:color w:val="000000"/>
          <w:sz w:val="24"/>
        </w:rPr>
        <w:t>- Né tránh (Avoid): Thay đổi thiết kế hoặc phạm vi để loại bỏ hoàn toàn nguyên nhân gây rủi ro.</w:t>
      </w:r>
    </w:p>
    <w:p>
      <w:pPr>
        <w:spacing w:before="0" w:after="80" w:line="276" w:lineRule="auto"/>
        <w:jc w:val="both"/>
      </w:pPr>
      <w:r>
        <w:rPr>
          <w:rFonts w:ascii="Times New Roman" w:hAnsi="Times New Roman"/>
          <w:b w:val="0"/>
          <w:i w:val="0"/>
          <w:color w:val="000000"/>
          <w:sz w:val="24"/>
        </w:rPr>
        <w:t>- Giảm thiểu (Mitigate): Thực hiện các biện pháp kỹ thuật sớm nhằm giảm xác suất xảy ra hoặc mức độ thiệt hại.</w:t>
      </w:r>
    </w:p>
    <w:p>
      <w:pPr>
        <w:spacing w:before="0" w:after="80" w:line="276" w:lineRule="auto"/>
        <w:jc w:val="both"/>
      </w:pPr>
      <w:r>
        <w:rPr>
          <w:rFonts w:ascii="Times New Roman" w:hAnsi="Times New Roman"/>
          <w:b w:val="0"/>
          <w:i w:val="0"/>
          <w:color w:val="000000"/>
          <w:sz w:val="24"/>
        </w:rPr>
        <w:t>- Chuyển giao (Transfer): Chuyển giao rủi ro cho bên thứ ba (như sử dụng dịch vụ đám mây có cam kết SLA cao).</w:t>
      </w:r>
    </w:p>
    <w:p>
      <w:pPr>
        <w:spacing w:before="0" w:after="80" w:line="276" w:lineRule="auto"/>
        <w:jc w:val="both"/>
      </w:pPr>
      <w:r>
        <w:rPr>
          <w:rFonts w:ascii="Times New Roman" w:hAnsi="Times New Roman"/>
          <w:b w:val="0"/>
          <w:i w:val="0"/>
          <w:color w:val="000000"/>
          <w:sz w:val="24"/>
        </w:rPr>
        <w:t>- Chấp nhận (Accept): Lập quỹ dự phòng tài chính và thời gian để chủ động khắc phục khi rủi ro xảy ra.</w:t>
      </w:r>
    </w:p>
    <w:p>
      <w:pPr>
        <w:spacing w:before="120" w:after="60" w:line="276" w:lineRule="auto"/>
        <w:jc w:val="both"/>
      </w:pPr>
      <w:r>
        <w:rPr>
          <w:rFonts w:ascii="Times New Roman" w:hAnsi="Times New Roman"/>
          <w:b/>
          <w:i w:val="0"/>
          <w:color w:val="000000"/>
          <w:sz w:val="22"/>
        </w:rPr>
        <w:t>Bảng 7.3: Kế hoạch hành động ứng phó chi tiết và phân công Risk Owner</w:t>
      </w:r>
    </w:p>
    <w:tbl>
      <w:tblPr>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Mã RR</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Chiến lược PMI</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Biện pháp phòng ngừa chủ động</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Phương án xử lý khi rủi ro xảy ra (Contingency)</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Chủ sở hữu rủi ro (Risk Owner)</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R01</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Giảm thiểu (Mitigate)</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Áp dụng kỹ thuật nén hình học Dracoon, Level of Detail (LOD) và Lazy Loading khi render 3D.</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Tự động hạ độ phân giải lưới 3D khi phát hiện máy tính client có FPS &lt; 20.</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Trần Ngọc Đức (Frontend Lead)</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R04</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Giảm thiểu &amp; Đệm thời gian</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Bổ sung hệ số đệm PERT 10%, triển khai code module BIM sớm hơn 1 tuần so với lịch găng.</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Huy động Tech Lead Backend (An) hỗ trợ viết bộ chuyển đổi parser IFC sang JSON.</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Nguyễn Quốc Hội (PM) &amp; Trần Ngọc Đức</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R03</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Giảm thiểu (Mitigate)</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Mã hóa CSDL AES-256, áp dụng RBAC phân quyền chặt chẽ, kiểm thử bảo mật tự động CI/CD.</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Thu hồi ngay token bị nghi ngờ rò rỉ, ép buộc đổi mật khẩu toàn bộ người dùng liên quan.</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Phạm Đức Hiếu (QA/DevOps)</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R02</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Chuyển giao (Transfer)</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Sử dụng tài khoản Autodesk Developer có bản quyền trả phí và cam kết hỗ trợ kỹ thuật 24/7.</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Xây dựng cơ chế Local Cache dữ liệu BIM để người dùng vẫn xem được offline.</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Nguyễn Thành An (Backend Lead)</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R06</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Giảm thiểu &amp; Dự phòng</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Thiết lập cấu hình tự động tắt máy chủ GPU khi không có tác vụ render sau 15 phút.</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Sử dụng quỹ dự phòng rủi ro Khoản 3 (10.000.000 VNĐ) để bù đắp chi phí phát sinh.</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Nguyễn Quốc Hội (PM)</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R07</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Giảm thiểu (Mitigate)</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Áp dụng lập trình cặp đôi (Pair Programming) và chia sẻ tài liệu chéo nội bộ.</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PM tái phân bổ tác vụ khẩn cấp cho thành viên có kỹ năng tương đương.</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Nguyễn Quốc Hội (PM)</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R05</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Né tránh (Avoid)</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Gửi tài liệu trước 3 ngày kèm bản tóm tắt Executive Summary và câu hỏi trắc nghiệm lấy ý kiến.</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Chủ động xin ý kiến tham vấn qua email hoặc đặt lịch hẹn online ngắn 15 phút.</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Trần Tiến Thạnh (BA Lead)</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R09</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Né tránh (Avoid)</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Tích hợp công cụ tự động kiểm tra định dạng tên file 7 trường ngay tại màn hình Upload CDE.</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Hệ thống từ chối nhận file không đúng chuẩn ISO 19650 và hướng dẫn người dùng sửa.</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Trần Ngọc Đức &amp; Nguyễn Quốc Công</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R08</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Chấp nhận &amp; Hòa giải</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Tuân thủ ma trận RACI, quyền quyết định kiến trúc thuộc Tech Lead, nghiệp vụ thuộc BA.</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PM chủ trì phiên họp giải quyết dứt điểm trong vòng 02 giờ dựa trên chuẩn SRS.</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Nguyễn Quốc Hội (PM)</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R10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Giảm thiểu (Mitigate)</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Đóng gói toàn bộ ứng dụng bằng Docker Compose đồng nhất giữa môi trường Dev và Staging.</w:t>
            </w:r>
          </w:p>
        </w:tc>
        <w:tc>
          <w:tcPr>
            <w:tcW w:type="dxa" w:w="345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Khôi phục phiên bản backup Docker Image ổn định gần nhất trong vòng 10 phút.</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Phạm Đức Hiếu (DevOps)</w:t>
            </w:r>
          </w:p>
        </w:tc>
      </w:tr>
    </w:tbl>
    <w:p>
      <w:pPr>
        <w:spacing w:before="80" w:after="80" w:line="276" w:lineRule="auto"/>
        <w:jc w:val="both"/>
      </w:pPr>
      <w:r>
        <w:rPr>
          <w:rFonts w:ascii="Times New Roman" w:hAnsi="Times New Roman"/>
          <w:b w:val="0"/>
          <w:i w:val="0"/>
          <w:color w:val="000000"/>
          <w:sz w:val="24"/>
        </w:rPr>
        <w:t>Cơ chế giám sát và rà soát rủi ro định kỳ: Sổ đăng ký rủi ro (Risk Register) được đưa vào nội dung nghị sự bắt buộc trong tất cả các phiên họp giao ban Thứ Ba và Thứ Sáu hàng tuần. Mỗi Risk Owner có trách nhiệm cập nhật trạng thái rủi ro phụ trách, đánh giá lại điểm số (P x I) và đề xuất đóng rủi ro nếu mối nguy đã qua hoặc điều chỉnh biện pháp nếu rủi ro có xu hướng trầm trọng hơn.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63DB0A-83C9-48A8-84E2-7280537082A8}"/>
</file>

<file path=customXml/itemProps3.xml><?xml version="1.0" encoding="utf-8"?>
<ds:datastoreItem xmlns:ds="http://schemas.openxmlformats.org/officeDocument/2006/customXml" ds:itemID="{EB83189A-CE17-4A3E-939B-D18C1B38CB9C}"/>
</file>

<file path=customXml/itemProps4.xml><?xml version="1.0" encoding="utf-8"?>
<ds:datastoreItem xmlns:ds="http://schemas.openxmlformats.org/officeDocument/2006/customXml" ds:itemID="{1D266A2C-EEF4-49AC-8A39-4A22B94A2A4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