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18.4) Use case</w:t>
      </w: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248025" cy="8763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6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Tóm tắt: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Use case bắt đầu khi Admin có nhu cầu thực hiện chức năng xem thống kê thu chi. Hệ thống cho phép Admin xem thống kê thu hoặc chi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Dòng sự kiện chính: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24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Chọn ngày tháng năm cần xem từ form Thống kê thu chi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Chọn muốn xem thống kê thu hay chi.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Xuất thống kê theo sự lựa chọn của admin.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Dòng sự kiện phụ: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Yêu cầu thời gian của ngày kết thúc sẽ sau hoặc bằng ngày bắt đầu thống kê.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Tiền điều kiện: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4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4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Bắt buộc phải thông qua bước đăng nhập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40" w:firstLine="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Quyền phải là của 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Hậu điều kiện: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  <w:ind w:left="4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32"/>
                <w:szCs w:val="32"/>
                <w:u w:val="none"/>
                <w:vertAlign w:val="baseline"/>
              </w:rPr>
              <w:t>Thông báo thay đổi thành công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E75E0"/>
    <w:rsid w:val="44C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2020-12-01T16:05:00Z</dcterms:created>
  <dc:creator>DELL</dc:creator>
  <cp:lastModifiedBy>DELL</cp:lastModifiedBy>
  <dcterms:modified xsi:type="dcterms:W3CDTF">2020-12-01T16:06:42Z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