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jc w:val="center"/>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top w:w="0" w:type="dxa"/>
          <w:left w:w="0" w:type="dxa"/>
          <w:bottom w:w="0" w:type="dxa"/>
          <w:right w:w="0" w:type="dxa"/>
        </w:tblCellMar>
      </w:tblPr>
      <w:tblGrid>
        <w:gridCol w:w="4535"/>
        <w:gridCol w:w="4535"/>
      </w:tblGrid>
      <w:tr>
        <w:tc>
          <w:tcPr>
            <w:tcW w:type="dxa" w:w="4082"/>
          </w:tcPr>
          <w:p>
            <w:pPr>
              <w:spacing w:before="0" w:after="0" w:line="240" w:lineRule="auto"/>
              <w:jc w:val="center"/>
            </w:pPr>
            <w:r>
              <w:rPr>
                <w:rFonts w:ascii="Times New Roman" w:hAnsi="Times New Roman" w:cs="Times New Roman" w:eastAsia="Times New Roman"/>
                <w:b w:val="0"/>
                <w:i w:val="0"/>
                <w:color w:val="000000"/>
                <w:sz w:val="26"/>
              </w:rPr>
              <w:t>UBND TỈNH AN GIANG</w:t>
            </w:r>
          </w:p>
          <w:p>
            <w:pPr>
              <w:spacing w:before="0" w:after="0" w:line="240" w:lineRule="auto"/>
              <w:jc w:val="center"/>
            </w:pPr>
            <w:r>
              <w:rPr>
                <w:rFonts w:ascii="Times New Roman" w:hAnsi="Times New Roman" w:cs="Times New Roman" w:eastAsia="Times New Roman"/>
                <w:b/>
                <w:i w:val="0"/>
                <w:color w:val="000000"/>
                <w:sz w:val="26"/>
              </w:rPr>
              <w:t>SỞ GIÁO DỤC VÀ ĐÀO TẠO</w:t>
            </w:r>
          </w:p>
          <w:p>
            <w:pPr>
              <w:spacing w:before="0" w:after="60" w:line="240" w:lineRule="auto"/>
              <w:jc w:val="center"/>
            </w:pPr>
            <w:r>
              <w:rPr>
                <w:rFonts w:ascii="Times New Roman" w:hAnsi="Times New Roman" w:cs="Times New Roman" w:eastAsia="Times New Roman"/>
                <w:b w:val="0"/>
                <w:i w:val="0"/>
                <w:color w:val="000000"/>
                <w:sz w:val="20"/>
              </w:rPr>
              <w:t>____________</w:t>
            </w:r>
          </w:p>
          <w:p>
            <w:pPr>
              <w:spacing w:before="120" w:after="0" w:line="240" w:lineRule="auto"/>
              <w:jc w:val="center"/>
            </w:pPr>
            <w:r>
              <w:rPr>
                <w:rFonts w:ascii="Times New Roman" w:hAnsi="Times New Roman" w:cs="Times New Roman" w:eastAsia="Times New Roman"/>
                <w:b w:val="0"/>
                <w:i w:val="0"/>
                <w:color w:val="000000"/>
                <w:sz w:val="26"/>
              </w:rPr>
              <w:t xml:space="preserve">Số: </w:t>
            </w:r>
            <w:r>
              <w:rPr>
                <w:rFonts w:ascii="Times New Roman" w:hAnsi="Times New Roman" w:cs="Times New Roman" w:eastAsia="Times New Roman"/>
                <w:b w:val="0"/>
                <w:i w:val="0"/>
                <w:color w:val="000000"/>
                <w:sz w:val="26"/>
              </w:rPr>
              <w:t>05/QĐ-SGD&amp;ĐT</w:t>
            </w:r>
          </w:p>
        </w:tc>
        <w:tc>
          <w:tcPr>
            <w:tcW w:type="dxa" w:w="4989"/>
          </w:tcPr>
          <w:p>
            <w:pPr>
              <w:spacing w:before="0" w:after="0" w:line="240" w:lineRule="auto"/>
              <w:jc w:val="center"/>
            </w:pPr>
            <w:r>
              <w:rPr>
                <w:rFonts w:ascii="Times New Roman" w:hAnsi="Times New Roman" w:cs="Times New Roman" w:eastAsia="Times New Roman"/>
                <w:b/>
                <w:i w:val="0"/>
                <w:color w:val="000000"/>
                <w:sz w:val="26"/>
              </w:rPr>
              <w:t>CỘNG HÒA XÃ HỘI CHỦ NGHĨA VIỆT NAM</w:t>
            </w:r>
          </w:p>
          <w:p>
            <w:pPr>
              <w:spacing w:before="0" w:after="0" w:line="240" w:lineRule="auto"/>
              <w:jc w:val="center"/>
            </w:pPr>
            <w:r>
              <w:rPr>
                <w:rFonts w:ascii="Times New Roman" w:hAnsi="Times New Roman" w:cs="Times New Roman" w:eastAsia="Times New Roman"/>
                <w:b/>
                <w:i w:val="0"/>
                <w:color w:val="000000"/>
                <w:sz w:val="28"/>
              </w:rPr>
              <w:t>Độc lập - Tự do - Hạnh phúc</w:t>
            </w:r>
          </w:p>
          <w:p>
            <w:pPr>
              <w:spacing w:before="0" w:after="60" w:line="240" w:lineRule="auto"/>
              <w:jc w:val="center"/>
            </w:pPr>
            <w:r>
              <w:rPr>
                <w:rFonts w:ascii="Times New Roman" w:hAnsi="Times New Roman" w:cs="Times New Roman" w:eastAsia="Times New Roman"/>
                <w:b w:val="0"/>
                <w:i w:val="0"/>
                <w:color w:val="000000"/>
                <w:sz w:val="20"/>
              </w:rPr>
              <w:t>______________________________</w:t>
            </w:r>
          </w:p>
          <w:p>
            <w:pPr>
              <w:spacing w:before="120" w:after="0" w:line="240" w:lineRule="auto"/>
              <w:jc w:val="center"/>
            </w:pPr>
            <w:r>
              <w:rPr>
                <w:rFonts w:ascii="Times New Roman" w:hAnsi="Times New Roman" w:cs="Times New Roman" w:eastAsia="Times New Roman"/>
                <w:b w:val="0"/>
                <w:i/>
                <w:color w:val="000000"/>
                <w:sz w:val="28"/>
              </w:rPr>
              <w:t>Long Xuyên, ngày 15 tháng 03 năm 2026</w:t>
            </w:r>
          </w:p>
        </w:tc>
      </w:tr>
    </w:tbl>
    <w:p>
      <w:pPr>
        <w:spacing w:before="240" w:after="0" w:line="240" w:lineRule="auto"/>
        <w:jc w:val="center"/>
      </w:pPr>
      <w:r>
        <w:rPr>
          <w:rFonts w:ascii="Times New Roman" w:hAnsi="Times New Roman" w:cs="Times New Roman" w:eastAsia="Times New Roman"/>
          <w:b/>
          <w:i w:val="0"/>
          <w:color w:val="000000"/>
          <w:sz w:val="28"/>
        </w:rPr>
        <w:t>QUYẾT ĐỊNH</w:t>
      </w:r>
    </w:p>
    <w:p>
      <w:pPr>
        <w:spacing w:before="0" w:after="0" w:line="240" w:lineRule="auto"/>
        <w:jc w:val="center"/>
      </w:pPr>
      <w:r>
        <w:rPr>
          <w:rFonts w:ascii="Times New Roman" w:hAnsi="Times New Roman" w:cs="Times New Roman" w:eastAsia="Times New Roman"/>
          <w:b/>
          <w:i w:val="0"/>
          <w:color w:val="000000"/>
          <w:sz w:val="28"/>
        </w:rPr>
        <w:t>Về việc ban hành Quy chế làm việc của Sở Giáo dục và Đào tạo</w:t>
      </w:r>
    </w:p>
    <w:p>
      <w:pPr>
        <w:spacing w:before="0" w:after="120" w:line="240" w:lineRule="auto"/>
        <w:jc w:val="center"/>
      </w:pPr>
      <w:r>
        <w:rPr>
          <w:rFonts w:ascii="Times New Roman" w:hAnsi="Times New Roman" w:cs="Times New Roman" w:eastAsia="Times New Roman"/>
          <w:b w:val="0"/>
          <w:i w:val="0"/>
          <w:color w:val="000000"/>
          <w:sz w:val="20"/>
        </w:rPr>
        <w:t>____________________</w:t>
      </w:r>
    </w:p>
    <w:p>
      <w:pPr>
        <w:spacing w:before="0" w:after="0" w:line="240" w:lineRule="auto"/>
        <w:ind w:firstLine="567"/>
        <w:jc w:val="both"/>
      </w:pPr>
      <w:r>
        <w:rPr>
          <w:rFonts w:ascii="Times New Roman" w:hAnsi="Times New Roman" w:cs="Times New Roman" w:eastAsia="Times New Roman"/>
          <w:b w:val="0"/>
          <w:i/>
          <w:color w:val="000000"/>
          <w:sz w:val="28"/>
        </w:rPr>
        <w:t>Căn cứ Luật Tổ chức chính quyền địa phương ngày 19 tháng 6 năm 2015;</w:t>
      </w:r>
    </w:p>
    <w:p>
      <w:pPr>
        <w:spacing w:before="0" w:after="0" w:line="240" w:lineRule="auto"/>
        <w:ind w:firstLine="567"/>
        <w:jc w:val="both"/>
      </w:pPr>
      <w:r>
        <w:rPr>
          <w:rFonts w:ascii="Times New Roman" w:hAnsi="Times New Roman" w:cs="Times New Roman" w:eastAsia="Times New Roman"/>
          <w:b w:val="0"/>
          <w:i/>
          <w:color w:val="000000"/>
          <w:sz w:val="28"/>
        </w:rPr>
        <w:t>Căn cứ Luật sửa đổi, bổ sung một số điều của Luật Tổ chức Chính phủ và Luật Tổ chức chính quyền địa phương ngày 22 tháng 11 năm 2019;</w:t>
      </w:r>
    </w:p>
    <w:p>
      <w:pPr>
        <w:spacing w:before="0" w:after="0" w:line="240" w:lineRule="auto"/>
        <w:ind w:firstLine="567"/>
        <w:jc w:val="both"/>
      </w:pPr>
      <w:r>
        <w:rPr>
          <w:rFonts w:ascii="Times New Roman" w:hAnsi="Times New Roman" w:cs="Times New Roman" w:eastAsia="Times New Roman"/>
          <w:b w:val="0"/>
          <w:i/>
          <w:color w:val="000000"/>
          <w:sz w:val="28"/>
        </w:rPr>
        <w:t>Căn cứ Nghị định số 30/2020/NĐ-CP ngày 05 tháng 3 năm 2020 của Chính phủ về công tác văn thư;</w:t>
      </w:r>
    </w:p>
    <w:p>
      <w:pPr>
        <w:spacing w:before="0" w:after="0" w:line="240" w:lineRule="auto"/>
        <w:ind w:firstLine="567"/>
        <w:jc w:val="both"/>
      </w:pPr>
      <w:r>
        <w:rPr>
          <w:rFonts w:ascii="Times New Roman" w:hAnsi="Times New Roman" w:cs="Times New Roman" w:eastAsia="Times New Roman"/>
          <w:b w:val="0"/>
          <w:i/>
          <w:color w:val="000000"/>
          <w:sz w:val="28"/>
        </w:rPr>
        <w:t>Theo đề nghị của Chánh Văn phòng Sở Giáo dục và Đào tạo.</w:t>
      </w:r>
    </w:p>
    <w:p>
      <w:pPr>
        <w:spacing w:before="240" w:after="120" w:line="240" w:lineRule="auto"/>
        <w:jc w:val="center"/>
      </w:pPr>
      <w:r>
        <w:rPr>
          <w:rFonts w:ascii="Times New Roman" w:hAnsi="Times New Roman" w:cs="Times New Roman" w:eastAsia="Times New Roman"/>
          <w:b/>
          <w:i w:val="0"/>
          <w:color w:val="000000"/>
          <w:sz w:val="28"/>
        </w:rPr>
        <w:t>QUYẾT ĐỊNH:</w:t>
      </w:r>
    </w:p>
    <w:p>
      <w:pPr>
        <w:spacing w:before="0" w:after="120" w:line="276" w:lineRule="auto"/>
        <w:ind w:firstLine="567"/>
        <w:jc w:val="both"/>
      </w:pPr>
      <w:r>
        <w:rPr>
          <w:rFonts w:ascii="Times New Roman" w:hAnsi="Times New Roman" w:cs="Times New Roman" w:eastAsia="Times New Roman"/>
          <w:b w:val="0"/>
          <w:i w:val="0"/>
          <w:color w:val="000000"/>
          <w:sz w:val="28"/>
        </w:rPr>
        <w:t>Điều 1. Ban hành kèm theo Quyết định này Quy chế làm việc của Sở Giáo dục và Đào tạo tỉnh An Giang.</w:t>
      </w:r>
    </w:p>
    <w:p>
      <w:pPr>
        <w:spacing w:before="0" w:after="120" w:line="276" w:lineRule="auto"/>
        <w:ind w:firstLine="567"/>
        <w:jc w:val="both"/>
      </w:pPr>
      <w:r>
        <w:rPr>
          <w:rFonts w:ascii="Times New Roman" w:hAnsi="Times New Roman" w:cs="Times New Roman" w:eastAsia="Times New Roman"/>
          <w:b w:val="0"/>
          <w:i w:val="0"/>
          <w:color w:val="000000"/>
          <w:sz w:val="28"/>
        </w:rPr>
        <w:t>Điều 2. Quyết định này có hiệu lực thi hành kể từ ngày ký ban hành. Các quy định trước đây trái với Quyết định này đều bãi bỏ.</w:t>
      </w:r>
    </w:p>
    <w:p>
      <w:pPr>
        <w:spacing w:before="0" w:after="120" w:line="276" w:lineRule="auto"/>
        <w:ind w:firstLine="567"/>
        <w:jc w:val="both"/>
      </w:pPr>
      <w:r>
        <w:rPr>
          <w:rFonts w:ascii="Times New Roman" w:hAnsi="Times New Roman" w:cs="Times New Roman" w:eastAsia="Times New Roman"/>
          <w:b w:val="0"/>
          <w:i w:val="0"/>
          <w:color w:val="000000"/>
          <w:sz w:val="28"/>
        </w:rPr>
        <w:t>Điều 3. Chánh Văn phòng, Trưởng các phòng chuyên môn, nghiệp vụ thuộc Sở và Thủ trưởng các đơn vị có liên quan chịu trách nhiệm thi hành Quyết định này.</w:t>
      </w:r>
    </w:p>
    <w:p>
      <w:pPr>
        <w:spacing w:before="120" w:after="240" w:line="240" w:lineRule="auto"/>
        <w:jc w:val="right"/>
      </w:pPr>
      <w:r>
        <w:rPr>
          <w:rFonts w:ascii="Times New Roman" w:hAnsi="Times New Roman" w:cs="Times New Roman" w:eastAsia="Times New Roman"/>
          <w:b w:val="0"/>
          <w:i w:val="0"/>
          <w:color w:val="000000"/>
          <w:sz w:val="28"/>
        </w:rPr>
        <w:t>./.</w:t>
      </w:r>
    </w:p>
    <w:tbl>
      <w:tblPr>
        <w:tblW w:type="auto" w:w="0"/>
        <w:jc w:val="center"/>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top w:w="0" w:type="dxa"/>
          <w:left w:w="0" w:type="dxa"/>
          <w:bottom w:w="0" w:type="dxa"/>
          <w:right w:w="0" w:type="dxa"/>
        </w:tblCellMar>
      </w:tblPr>
      <w:tblGrid>
        <w:gridCol w:w="4535"/>
        <w:gridCol w:w="4535"/>
      </w:tblGrid>
      <w:tr>
        <w:tc>
          <w:tcPr>
            <w:tcW w:type="dxa" w:w="4535"/>
          </w:tcPr>
          <w:p>
            <w:pPr>
              <w:spacing w:before="0" w:after="0" w:line="240" w:lineRule="auto"/>
              <w:jc w:val="left"/>
            </w:pPr>
            <w:r>
              <w:rPr>
                <w:rFonts w:ascii="Times New Roman" w:hAnsi="Times New Roman" w:cs="Times New Roman" w:eastAsia="Times New Roman"/>
                <w:b/>
                <w:i/>
                <w:color w:val="000000"/>
                <w:sz w:val="24"/>
              </w:rPr>
              <w:t>Nơi nhận:</w:t>
            </w:r>
          </w:p>
          <w:p>
            <w:pPr>
              <w:spacing w:before="0" w:after="0" w:line="240" w:lineRule="auto"/>
              <w:jc w:val="left"/>
            </w:pPr>
            <w:r>
              <w:rPr>
                <w:rFonts w:ascii="Times New Roman" w:hAnsi="Times New Roman" w:cs="Times New Roman" w:eastAsia="Times New Roman"/>
                <w:b w:val="0"/>
                <w:i w:val="0"/>
                <w:color w:val="000000"/>
                <w:sz w:val="22"/>
              </w:rPr>
              <w:t>- UBND tỉnh (để báo cáo);</w:t>
            </w:r>
          </w:p>
          <w:p>
            <w:pPr>
              <w:spacing w:before="0" w:after="0" w:line="240" w:lineRule="auto"/>
              <w:jc w:val="left"/>
            </w:pPr>
            <w:r>
              <w:rPr>
                <w:rFonts w:ascii="Times New Roman" w:hAnsi="Times New Roman" w:cs="Times New Roman" w:eastAsia="Times New Roman"/>
                <w:b w:val="0"/>
                <w:i w:val="0"/>
                <w:color w:val="000000"/>
                <w:sz w:val="22"/>
              </w:rPr>
              <w:t>- Sở Nội vụ;</w:t>
            </w:r>
          </w:p>
          <w:p>
            <w:pPr>
              <w:spacing w:before="0" w:after="0" w:line="240" w:lineRule="auto"/>
              <w:jc w:val="left"/>
            </w:pPr>
            <w:r>
              <w:rPr>
                <w:rFonts w:ascii="Times New Roman" w:hAnsi="Times New Roman" w:cs="Times New Roman" w:eastAsia="Times New Roman"/>
                <w:b w:val="0"/>
                <w:i w:val="0"/>
                <w:color w:val="000000"/>
                <w:sz w:val="22"/>
              </w:rPr>
              <w:t>- Các phòng, ban thuộc Sở;</w:t>
            </w:r>
          </w:p>
          <w:p>
            <w:pPr>
              <w:spacing w:before="0" w:after="0" w:line="240" w:lineRule="auto"/>
              <w:jc w:val="left"/>
            </w:pPr>
            <w:r>
              <w:rPr>
                <w:rFonts w:ascii="Times New Roman" w:hAnsi="Times New Roman" w:cs="Times New Roman" w:eastAsia="Times New Roman"/>
                <w:b w:val="0"/>
                <w:i w:val="0"/>
                <w:color w:val="000000"/>
                <w:sz w:val="22"/>
              </w:rPr>
              <w:t>- Lưu: VT, VP.</w:t>
            </w:r>
          </w:p>
        </w:tc>
        <w:tc>
          <w:tcPr>
            <w:tcW w:type="dxa" w:w="4535"/>
          </w:tcPr>
          <w:p>
            <w:pPr>
              <w:spacing w:before="0" w:after="0" w:line="240" w:lineRule="auto"/>
              <w:jc w:val="center"/>
            </w:pPr>
            <w:r>
              <w:rPr>
                <w:rFonts w:ascii="Times New Roman" w:hAnsi="Times New Roman" w:cs="Times New Roman" w:eastAsia="Times New Roman"/>
                <w:b/>
                <w:i w:val="0"/>
                <w:color w:val="000000"/>
                <w:sz w:val="28"/>
              </w:rPr>
              <w:t>TM. ỦY BAN NHÂN DÂN</w:t>
            </w:r>
          </w:p>
          <w:p>
            <w:pPr>
              <w:spacing w:before="0" w:after="0" w:line="240" w:lineRule="auto"/>
              <w:jc w:val="center"/>
            </w:pPr>
            <w:r>
              <w:rPr>
                <w:rFonts w:ascii="Times New Roman" w:hAnsi="Times New Roman" w:cs="Times New Roman" w:eastAsia="Times New Roman"/>
                <w:b/>
                <w:i w:val="0"/>
                <w:color w:val="000000"/>
                <w:sz w:val="28"/>
              </w:rPr>
              <w:t>GIÁM ĐỐC</w:t>
            </w:r>
          </w:p>
          <w:p>
            <w:pPr>
              <w:spacing w:before="0" w:after="0" w:line="240" w:lineRule="auto"/>
              <w:jc w:val="center"/>
            </w:pPr>
            <w:r>
              <w:rPr>
                <w:rFonts w:ascii="Times New Roman" w:hAnsi="Times New Roman" w:cs="Times New Roman" w:eastAsia="Times New Roman"/>
                <w:b w:val="0"/>
                <w:i w:val="0"/>
                <w:color w:val="000000"/>
                <w:sz w:val="28"/>
              </w:rPr>
            </w:r>
          </w:p>
          <w:p>
            <w:pPr>
              <w:spacing w:before="0" w:after="0" w:line="240" w:lineRule="auto"/>
              <w:jc w:val="center"/>
            </w:pPr>
            <w:r>
              <w:rPr>
                <w:rFonts w:ascii="Times New Roman" w:hAnsi="Times New Roman" w:cs="Times New Roman" w:eastAsia="Times New Roman"/>
                <w:b w:val="0"/>
                <w:i w:val="0"/>
                <w:color w:val="000000"/>
                <w:sz w:val="28"/>
              </w:rPr>
            </w:r>
          </w:p>
          <w:p>
            <w:pPr>
              <w:spacing w:before="0" w:after="0" w:line="240" w:lineRule="auto"/>
              <w:jc w:val="center"/>
            </w:pPr>
            <w:r>
              <w:rPr>
                <w:rFonts w:ascii="Times New Roman" w:hAnsi="Times New Roman" w:cs="Times New Roman" w:eastAsia="Times New Roman"/>
                <w:b w:val="0"/>
                <w:i w:val="0"/>
                <w:color w:val="000000"/>
                <w:sz w:val="28"/>
              </w:rPr>
            </w:r>
          </w:p>
          <w:p>
            <w:pPr>
              <w:spacing w:before="0" w:after="0" w:line="240" w:lineRule="auto"/>
              <w:jc w:val="center"/>
            </w:pPr>
            <w:r>
              <w:rPr>
                <w:rFonts w:ascii="Times New Roman" w:hAnsi="Times New Roman" w:cs="Times New Roman" w:eastAsia="Times New Roman"/>
                <w:b/>
                <w:i w:val="0"/>
                <w:color w:val="000000"/>
                <w:sz w:val="28"/>
              </w:rPr>
              <w:t>Nguyễn Văn A</w:t>
            </w:r>
          </w:p>
        </w:tc>
      </w:tr>
    </w:tbl>
    <w:sectPr w:rsidR="00FC693F" w:rsidRPr="0006063C" w:rsidSect="00034616">
      <w:pgSz w:w="11906" w:h="16838"/>
      <w:pgMar w:top="1417" w:right="1134" w:bottom="1417" w:left="1701" w:header="720" w:footer="720"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