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6055" cy="13620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5420" cy="1757045"/>
            <wp:effectExtent l="0" t="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cnt数什么:dout==1 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cnt数多少：10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变1的条件：en ==1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Dout变0的条件:  add_cnt &amp;&amp; cnt ==10-1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drawing>
          <wp:inline distT="0" distB="0" distL="114300" distR="114300">
            <wp:extent cx="5271135" cy="302387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4876165" cy="24288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12F25EEA"/>
    <w:rsid w:val="28EF080A"/>
    <w:rsid w:val="52B47CD5"/>
    <w:rsid w:val="605F462D"/>
    <w:rsid w:val="708527EA"/>
    <w:rsid w:val="73BA7E8F"/>
    <w:rsid w:val="778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uiPriority w:val="99"/>
    <w:rPr>
      <w:sz w:val="18"/>
      <w:szCs w:val="18"/>
    </w:rPr>
  </w:style>
  <w:style w:type="character" w:customStyle="1" w:styleId="26">
    <w:name w:val="t_tag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2017-10-15T07:01:33Z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