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PHÂN TÍCH THIẾT KẾ BA NHÓM KHÔNG GIAN A – B – C</w:t>
      </w:r>
    </w:p>
    <w:p>
      <w:pPr>
        <w:jc w:val="center"/>
      </w:pPr>
      <w:r>
        <w:rPr>
          <w:rFonts w:ascii="Times New Roman" w:hAnsi="Times New Roman"/>
          <w:b/>
          <w:sz w:val="28"/>
        </w:rPr>
        <w:t>Phục vụ xây dựng dữ liệu lái xe máy trong và ngoài vùng phát thải thấp Hà Nội giai đoạn 2026–2030</w:t>
      </w:r>
    </w:p>
    <w:p/>
    <w:p>
      <w:pPr>
        <w:jc w:val="center"/>
      </w:pPr>
      <w:r>
        <w:rPr>
          <w:i/>
          <w:sz w:val="24"/>
        </w:rPr>
        <w:t>Định hướng nghiên cứu sinh – phương pháp thiết kế không gian khảo sát và khai thác lợi thế của lộ trình mở rộng vùng phát thải thấp</w:t>
      </w:r>
    </w:p>
    <w:p/>
    <w:tbl>
      <w:tblPr>
        <w:tblStyle w:val="TableGrid"/>
        <w:tblW w:type="auto" w:w="0"/>
        <w:jc w:val="center"/>
        <w:tblLook w:firstColumn="1" w:firstRow="1" w:lastColumn="0" w:lastRow="0" w:noHBand="0" w:noVBand="1" w:val="04A0"/>
      </w:tblPr>
      <w:tblGrid>
        <w:gridCol w:w="3286"/>
        <w:gridCol w:w="3286"/>
        <w:gridCol w:w="3286"/>
      </w:tblGrid>
      <w:tr>
        <w:tc>
          <w:tcPr>
            <w:tcW w:type="dxa" w:w="1134"/>
            <w:vAlign w:val="center"/>
            <w:shd w:fill="D9EAF7"/>
          </w:tcPr>
          <w:p>
            <w:pPr>
              <w:jc w:val="center"/>
            </w:pPr>
            <w:r/>
            <w:r>
              <w:rPr>
                <w:rFonts w:ascii="Times New Roman" w:hAnsi="Times New Roman" w:eastAsia="Times New Roman"/>
                <w:b/>
                <w:sz w:val="21"/>
              </w:rPr>
              <w:t>Nhóm</w:t>
            </w:r>
          </w:p>
        </w:tc>
        <w:tc>
          <w:tcPr>
            <w:tcW w:type="dxa" w:w="3515"/>
            <w:vAlign w:val="center"/>
            <w:shd w:fill="D9EAF7"/>
          </w:tcPr>
          <w:p>
            <w:pPr>
              <w:jc w:val="center"/>
            </w:pPr>
            <w:r/>
            <w:r>
              <w:rPr>
                <w:rFonts w:ascii="Times New Roman" w:hAnsi="Times New Roman" w:eastAsia="Times New Roman"/>
                <w:b/>
                <w:sz w:val="21"/>
              </w:rPr>
              <w:t>Phạm vi không gian</w:t>
            </w:r>
          </w:p>
        </w:tc>
        <w:tc>
          <w:tcPr>
            <w:tcW w:type="dxa" w:w="4535"/>
            <w:vAlign w:val="center"/>
            <w:shd w:fill="D9EAF7"/>
          </w:tcPr>
          <w:p>
            <w:pPr>
              <w:jc w:val="center"/>
            </w:pPr>
            <w:r/>
            <w:r>
              <w:rPr>
                <w:rFonts w:ascii="Times New Roman" w:hAnsi="Times New Roman" w:eastAsia="Times New Roman"/>
                <w:b/>
                <w:sz w:val="21"/>
              </w:rPr>
              <w:t>Vai trò chính</w:t>
            </w:r>
          </w:p>
        </w:tc>
      </w:tr>
      <w:tr>
        <w:tc>
          <w:tcPr>
            <w:tcW w:type="dxa" w:w="1134"/>
            <w:vAlign w:val="center"/>
          </w:tcPr>
          <w:p>
            <w:pPr>
              <w:jc w:val="left"/>
            </w:pPr>
            <w:r/>
            <w:r>
              <w:rPr>
                <w:rFonts w:ascii="Times New Roman" w:hAnsi="Times New Roman" w:eastAsia="Times New Roman"/>
                <w:b w:val="0"/>
                <w:sz w:val="20"/>
              </w:rPr>
              <w:t>A</w:t>
            </w:r>
          </w:p>
        </w:tc>
        <w:tc>
          <w:tcPr>
            <w:tcW w:type="dxa" w:w="3515"/>
            <w:vAlign w:val="center"/>
          </w:tcPr>
          <w:p>
            <w:pPr>
              <w:jc w:val="left"/>
            </w:pPr>
            <w:r/>
            <w:r>
              <w:rPr>
                <w:rFonts w:ascii="Times New Roman" w:hAnsi="Times New Roman" w:eastAsia="Times New Roman"/>
                <w:b w:val="0"/>
                <w:sz w:val="20"/>
              </w:rPr>
              <w:t>Trong Vành đai 1</w:t>
            </w:r>
          </w:p>
        </w:tc>
        <w:tc>
          <w:tcPr>
            <w:tcW w:type="dxa" w:w="4535"/>
            <w:vAlign w:val="center"/>
          </w:tcPr>
          <w:p>
            <w:pPr>
              <w:jc w:val="left"/>
            </w:pPr>
            <w:r/>
            <w:r>
              <w:rPr>
                <w:rFonts w:ascii="Times New Roman" w:hAnsi="Times New Roman" w:eastAsia="Times New Roman"/>
                <w:b w:val="0"/>
                <w:sz w:val="20"/>
              </w:rPr>
              <w:t>Lõi vùng phát thải thấp, chịu tác động sớm</w:t>
            </w:r>
          </w:p>
        </w:tc>
      </w:tr>
      <w:tr>
        <w:tc>
          <w:tcPr>
            <w:tcW w:type="dxa" w:w="1134"/>
            <w:vAlign w:val="center"/>
          </w:tcPr>
          <w:p>
            <w:pPr>
              <w:jc w:val="left"/>
            </w:pPr>
            <w:r/>
            <w:r>
              <w:rPr>
                <w:rFonts w:ascii="Times New Roman" w:hAnsi="Times New Roman" w:eastAsia="Times New Roman"/>
                <w:b w:val="0"/>
                <w:sz w:val="20"/>
              </w:rPr>
              <w:t>B</w:t>
            </w:r>
          </w:p>
        </w:tc>
        <w:tc>
          <w:tcPr>
            <w:tcW w:type="dxa" w:w="3515"/>
            <w:vAlign w:val="center"/>
          </w:tcPr>
          <w:p>
            <w:pPr>
              <w:jc w:val="left"/>
            </w:pPr>
            <w:r/>
            <w:r>
              <w:rPr>
                <w:rFonts w:ascii="Times New Roman" w:hAnsi="Times New Roman" w:eastAsia="Times New Roman"/>
                <w:b w:val="0"/>
                <w:sz w:val="20"/>
              </w:rPr>
              <w:t>Từ Vành đai 1 đến Vành đai 3</w:t>
            </w:r>
          </w:p>
        </w:tc>
        <w:tc>
          <w:tcPr>
            <w:tcW w:type="dxa" w:w="4535"/>
            <w:vAlign w:val="center"/>
          </w:tcPr>
          <w:p>
            <w:pPr>
              <w:jc w:val="left"/>
            </w:pPr>
            <w:r/>
            <w:r>
              <w:rPr>
                <w:rFonts w:ascii="Times New Roman" w:hAnsi="Times New Roman" w:eastAsia="Times New Roman"/>
                <w:b w:val="0"/>
                <w:sz w:val="20"/>
              </w:rPr>
              <w:t>Vùng chuyển tiếp chính sách, theo dõi trước–sau</w:t>
            </w:r>
          </w:p>
        </w:tc>
      </w:tr>
      <w:tr>
        <w:tc>
          <w:tcPr>
            <w:tcW w:type="dxa" w:w="1134"/>
            <w:vAlign w:val="center"/>
          </w:tcPr>
          <w:p>
            <w:pPr>
              <w:jc w:val="left"/>
            </w:pPr>
            <w:r/>
            <w:r>
              <w:rPr>
                <w:rFonts w:ascii="Times New Roman" w:hAnsi="Times New Roman" w:eastAsia="Times New Roman"/>
                <w:b w:val="0"/>
                <w:sz w:val="20"/>
              </w:rPr>
              <w:t>C</w:t>
            </w:r>
          </w:p>
        </w:tc>
        <w:tc>
          <w:tcPr>
            <w:tcW w:type="dxa" w:w="3515"/>
            <w:vAlign w:val="center"/>
          </w:tcPr>
          <w:p>
            <w:pPr>
              <w:jc w:val="left"/>
            </w:pPr>
            <w:r/>
            <w:r>
              <w:rPr>
                <w:rFonts w:ascii="Times New Roman" w:hAnsi="Times New Roman" w:eastAsia="Times New Roman"/>
                <w:b w:val="0"/>
                <w:sz w:val="20"/>
              </w:rPr>
              <w:t>Ngoài Vành đai 3</w:t>
            </w:r>
          </w:p>
        </w:tc>
        <w:tc>
          <w:tcPr>
            <w:tcW w:type="dxa" w:w="4535"/>
            <w:vAlign w:val="center"/>
          </w:tcPr>
          <w:p>
            <w:pPr>
              <w:jc w:val="left"/>
            </w:pPr>
            <w:r/>
            <w:r>
              <w:rPr>
                <w:rFonts w:ascii="Times New Roman" w:hAnsi="Times New Roman" w:eastAsia="Times New Roman"/>
                <w:b w:val="0"/>
                <w:sz w:val="20"/>
              </w:rPr>
              <w:t>Nhóm đối chứng ổn định ngoài vùng phát thải thấp</w:t>
            </w:r>
          </w:p>
        </w:tc>
      </w:tr>
    </w:tbl>
    <w:p/>
    <w:p>
      <w:pPr>
        <w:jc w:val="center"/>
      </w:pPr>
      <w:r>
        <w:t>Phiên bản tổng hợp: 10/2026</w:t>
      </w:r>
    </w:p>
    <w:p>
      <w:r>
        <w:br w:type="page"/>
      </w:r>
    </w:p>
    <w:p>
      <w:pPr>
        <w:pStyle w:val="Heading1"/>
      </w:pPr>
      <w:r>
        <w:t>1. Cơ sở hình thành thiết kế ba nhóm A – B – C</w:t>
      </w:r>
    </w:p>
    <w:p>
      <w:r>
        <w:rPr>
          <w:b w:val="0"/>
        </w:rPr>
        <w:t xml:space="preserve">Nghị quyết số 57/2025/NQ-HĐND của Hội đồng nhân dân thành phố Hà Nội, ban hành ngày 26/11/2025 và có hiệu lực từ ngày 10/12/2025, quy định lộ trình mở rộng vùng phát thải thấp theo từng giai đoạn. </w:t>
      </w:r>
      <w:r>
        <w:rPr>
          <w:b/>
        </w:rPr>
        <w:t xml:space="preserve">Theo lộ trình được công bố: </w:t>
      </w:r>
      <w:r>
        <w:t>từ 01/7/2026 đến hết 31/12/2027 thí điểm tại một số khu vực trong Vành đai 1; giai đoạn 2028–2029 thực hiện tại Vành đai 1 và một số khu vực trong Vành đai 2; từ 01/01/2030 thực hiện tại Vành đai 3 trở vào theo danh sách địa bàn quy định [1].</w:t>
      </w:r>
    </w:p>
    <w:p>
      <w:r>
        <w:rPr>
          <w:b/>
        </w:rPr>
        <w:t xml:space="preserve">Đối với nghiên cứu sinh thực hiện trong giai đoạn 2026–2030, phạm vi vùng phát thải thấp không bất biến. </w:t>
      </w:r>
      <w:r>
        <w:t>Một tuyến đang ở ngoài vùng trong năm 2026–2027 có thể trở thành tuyến nằm trong vùng ở giai đoạn 2028–2030. Vì vậy, nếu chỉ chia cứng hai nhóm “trong vùng” và “ngoài vùng” ngay từ đầu thì bộ dữ liệu dễ bị lẫn trạng thái chính sách khi phân tích theo thời gian.</w:t>
      </w:r>
    </w:p>
    <w:p>
      <w:r>
        <w:t>Thiết kế ba nhóm A – B – C giải quyết vấn đề này bằng cách tách riêng:</w:t>
      </w:r>
    </w:p>
    <w:p>
      <w:pPr>
        <w:pStyle w:val="ListBullet"/>
        <w:spacing w:after="40"/>
      </w:pPr>
      <w:r>
        <w:rPr>
          <w:rFonts w:ascii="Times New Roman" w:hAnsi="Times New Roman" w:eastAsia="Times New Roman"/>
          <w:sz w:val="24"/>
        </w:rPr>
        <w:t>Nhóm A: khu vực chịu tác động sớm và ổn định nhất của chính sách.</w:t>
      </w:r>
    </w:p>
    <w:p>
      <w:pPr>
        <w:pStyle w:val="ListBullet"/>
        <w:spacing w:after="40"/>
      </w:pPr>
      <w:r>
        <w:rPr>
          <w:rFonts w:ascii="Times New Roman" w:hAnsi="Times New Roman" w:eastAsia="Times New Roman"/>
          <w:sz w:val="24"/>
        </w:rPr>
        <w:t>Nhóm B: khu vực có khả năng chuyển trạng thái trong thời gian làm nghiên cứu sinh.</w:t>
      </w:r>
    </w:p>
    <w:p>
      <w:pPr>
        <w:pStyle w:val="ListBullet"/>
        <w:spacing w:after="40"/>
      </w:pPr>
      <w:r>
        <w:rPr>
          <w:rFonts w:ascii="Times New Roman" w:hAnsi="Times New Roman" w:eastAsia="Times New Roman"/>
          <w:sz w:val="24"/>
        </w:rPr>
        <w:t>Nhóm C: khu vực đối chứng nằm ngoài phạm vi Vành đai 3, có khả năng duy trì trạng thái ngoài vùng phát thải thấp ổn định hơn.</w:t>
      </w:r>
    </w:p>
    <w:p>
      <w:pPr>
        <w:pStyle w:val="Heading1"/>
      </w:pPr>
      <w:r>
        <w:t>2. Định nghĩa ba nhóm không gian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850"/>
            <w:vAlign w:val="center"/>
            <w:shd w:fill="D9EAF7"/>
          </w:tcPr>
          <w:p>
            <w:pPr>
              <w:jc w:val="center"/>
            </w:pPr>
            <w:r/>
            <w:r>
              <w:rPr>
                <w:rFonts w:ascii="Times New Roman" w:hAnsi="Times New Roman" w:eastAsia="Times New Roman"/>
                <w:b/>
                <w:sz w:val="21"/>
              </w:rPr>
              <w:t>Nhóm</w:t>
            </w:r>
          </w:p>
        </w:tc>
        <w:tc>
          <w:tcPr>
            <w:tcW w:type="dxa" w:w="2551"/>
            <w:vAlign w:val="center"/>
            <w:shd w:fill="D9EAF7"/>
          </w:tcPr>
          <w:p>
            <w:pPr>
              <w:jc w:val="center"/>
            </w:pPr>
            <w:r/>
            <w:r>
              <w:rPr>
                <w:rFonts w:ascii="Times New Roman" w:hAnsi="Times New Roman" w:eastAsia="Times New Roman"/>
                <w:b/>
                <w:sz w:val="21"/>
              </w:rPr>
              <w:t>Phạm vi đề xuất</w:t>
            </w:r>
          </w:p>
        </w:tc>
        <w:tc>
          <w:tcPr>
            <w:tcW w:type="dxa" w:w="2324"/>
            <w:vAlign w:val="center"/>
            <w:shd w:fill="D9EAF7"/>
          </w:tcPr>
          <w:p>
            <w:pPr>
              <w:jc w:val="center"/>
            </w:pPr>
            <w:r/>
            <w:r>
              <w:rPr>
                <w:rFonts w:ascii="Times New Roman" w:hAnsi="Times New Roman" w:eastAsia="Times New Roman"/>
                <w:b/>
                <w:sz w:val="21"/>
              </w:rPr>
              <w:t>Trạng thái nghiên cứu</w:t>
            </w:r>
          </w:p>
        </w:tc>
        <w:tc>
          <w:tcPr>
            <w:tcW w:type="dxa" w:w="3969"/>
            <w:vAlign w:val="center"/>
            <w:shd w:fill="D9EAF7"/>
          </w:tcPr>
          <w:p>
            <w:pPr>
              <w:jc w:val="center"/>
            </w:pPr>
            <w:r/>
            <w:r>
              <w:rPr>
                <w:rFonts w:ascii="Times New Roman" w:hAnsi="Times New Roman" w:eastAsia="Times New Roman"/>
                <w:b/>
                <w:sz w:val="21"/>
              </w:rPr>
              <w:t>Mục tiêu sử dụng</w:t>
            </w:r>
          </w:p>
        </w:tc>
      </w:tr>
      <w:tr>
        <w:tc>
          <w:tcPr>
            <w:tcW w:type="dxa" w:w="850"/>
            <w:vAlign w:val="center"/>
          </w:tcPr>
          <w:p>
            <w:pPr>
              <w:jc w:val="left"/>
            </w:pPr>
            <w:r/>
            <w:r>
              <w:rPr>
                <w:rFonts w:ascii="Times New Roman" w:hAnsi="Times New Roman" w:eastAsia="Times New Roman"/>
                <w:b w:val="0"/>
                <w:sz w:val="20"/>
              </w:rPr>
              <w:t>A</w:t>
            </w:r>
          </w:p>
        </w:tc>
        <w:tc>
          <w:tcPr>
            <w:tcW w:type="dxa" w:w="2551"/>
            <w:vAlign w:val="center"/>
          </w:tcPr>
          <w:p>
            <w:pPr>
              <w:jc w:val="left"/>
            </w:pPr>
            <w:r/>
            <w:r>
              <w:rPr>
                <w:rFonts w:ascii="Times New Roman" w:hAnsi="Times New Roman" w:eastAsia="Times New Roman"/>
                <w:b w:val="0"/>
                <w:sz w:val="20"/>
              </w:rPr>
              <w:t>Trong Vành đai 1</w:t>
            </w:r>
          </w:p>
        </w:tc>
        <w:tc>
          <w:tcPr>
            <w:tcW w:type="dxa" w:w="2324"/>
            <w:vAlign w:val="center"/>
          </w:tcPr>
          <w:p>
            <w:pPr>
              <w:jc w:val="left"/>
            </w:pPr>
            <w:r/>
            <w:r>
              <w:rPr>
                <w:rFonts w:ascii="Times New Roman" w:hAnsi="Times New Roman" w:eastAsia="Times New Roman"/>
                <w:b w:val="0"/>
                <w:sz w:val="20"/>
              </w:rPr>
              <w:t>Nhóm tác động sớm</w:t>
            </w:r>
          </w:p>
        </w:tc>
        <w:tc>
          <w:tcPr>
            <w:tcW w:type="dxa" w:w="3969"/>
            <w:vAlign w:val="center"/>
          </w:tcPr>
          <w:p>
            <w:pPr>
              <w:jc w:val="left"/>
            </w:pPr>
            <w:r/>
            <w:r>
              <w:rPr>
                <w:rFonts w:ascii="Times New Roman" w:hAnsi="Times New Roman" w:eastAsia="Times New Roman"/>
                <w:b w:val="0"/>
                <w:sz w:val="20"/>
              </w:rPr>
              <w:t>Xây dựng lõi dữ liệu vùng phát thải thấp; theo dõi quá trình chính sách ổn định và trưởng thành.</w:t>
            </w:r>
          </w:p>
        </w:tc>
      </w:tr>
      <w:tr>
        <w:tc>
          <w:tcPr>
            <w:tcW w:type="dxa" w:w="850"/>
            <w:vAlign w:val="center"/>
          </w:tcPr>
          <w:p>
            <w:pPr>
              <w:jc w:val="left"/>
            </w:pPr>
            <w:r/>
            <w:r>
              <w:rPr>
                <w:rFonts w:ascii="Times New Roman" w:hAnsi="Times New Roman" w:eastAsia="Times New Roman"/>
                <w:b w:val="0"/>
                <w:sz w:val="20"/>
              </w:rPr>
              <w:t>B</w:t>
            </w:r>
          </w:p>
        </w:tc>
        <w:tc>
          <w:tcPr>
            <w:tcW w:type="dxa" w:w="2551"/>
            <w:vAlign w:val="center"/>
          </w:tcPr>
          <w:p>
            <w:pPr>
              <w:jc w:val="left"/>
            </w:pPr>
            <w:r/>
            <w:r>
              <w:rPr>
                <w:rFonts w:ascii="Times New Roman" w:hAnsi="Times New Roman" w:eastAsia="Times New Roman"/>
                <w:b w:val="0"/>
                <w:sz w:val="20"/>
              </w:rPr>
              <w:t>Khoảng Vành đai 1 – Vành đai 3</w:t>
            </w:r>
          </w:p>
        </w:tc>
        <w:tc>
          <w:tcPr>
            <w:tcW w:type="dxa" w:w="2324"/>
            <w:vAlign w:val="center"/>
          </w:tcPr>
          <w:p>
            <w:pPr>
              <w:jc w:val="left"/>
            </w:pPr>
            <w:r/>
            <w:r>
              <w:rPr>
                <w:rFonts w:ascii="Times New Roman" w:hAnsi="Times New Roman" w:eastAsia="Times New Roman"/>
                <w:b w:val="0"/>
                <w:sz w:val="20"/>
              </w:rPr>
              <w:t>Nhóm chuyển tiếp</w:t>
            </w:r>
          </w:p>
        </w:tc>
        <w:tc>
          <w:tcPr>
            <w:tcW w:type="dxa" w:w="3969"/>
            <w:vAlign w:val="center"/>
          </w:tcPr>
          <w:p>
            <w:pPr>
              <w:jc w:val="left"/>
            </w:pPr>
            <w:r/>
            <w:r>
              <w:rPr>
                <w:rFonts w:ascii="Times New Roman" w:hAnsi="Times New Roman" w:eastAsia="Times New Roman"/>
                <w:b w:val="0"/>
                <w:sz w:val="20"/>
              </w:rPr>
              <w:t>Theo dõi cùng hành lang trước và sau khi phạm vi vùng phát thải thấp mở rộng.</w:t>
            </w:r>
          </w:p>
        </w:tc>
      </w:tr>
      <w:tr>
        <w:tc>
          <w:tcPr>
            <w:tcW w:type="dxa" w:w="850"/>
            <w:vAlign w:val="center"/>
          </w:tcPr>
          <w:p>
            <w:pPr>
              <w:jc w:val="left"/>
            </w:pPr>
            <w:r/>
            <w:r>
              <w:rPr>
                <w:rFonts w:ascii="Times New Roman" w:hAnsi="Times New Roman" w:eastAsia="Times New Roman"/>
                <w:b w:val="0"/>
                <w:sz w:val="20"/>
              </w:rPr>
              <w:t>C</w:t>
            </w:r>
          </w:p>
        </w:tc>
        <w:tc>
          <w:tcPr>
            <w:tcW w:type="dxa" w:w="2551"/>
            <w:vAlign w:val="center"/>
          </w:tcPr>
          <w:p>
            <w:pPr>
              <w:jc w:val="left"/>
            </w:pPr>
            <w:r/>
            <w:r>
              <w:rPr>
                <w:rFonts w:ascii="Times New Roman" w:hAnsi="Times New Roman" w:eastAsia="Times New Roman"/>
                <w:b w:val="0"/>
                <w:sz w:val="20"/>
              </w:rPr>
              <w:t>Ngoài Vành đai 3</w:t>
            </w:r>
          </w:p>
        </w:tc>
        <w:tc>
          <w:tcPr>
            <w:tcW w:type="dxa" w:w="2324"/>
            <w:vAlign w:val="center"/>
          </w:tcPr>
          <w:p>
            <w:pPr>
              <w:jc w:val="left"/>
            </w:pPr>
            <w:r/>
            <w:r>
              <w:rPr>
                <w:rFonts w:ascii="Times New Roman" w:hAnsi="Times New Roman" w:eastAsia="Times New Roman"/>
                <w:b w:val="0"/>
                <w:sz w:val="20"/>
              </w:rPr>
              <w:t>Nhóm đối chứng ổn định</w:t>
            </w:r>
          </w:p>
        </w:tc>
        <w:tc>
          <w:tcPr>
            <w:tcW w:type="dxa" w:w="3969"/>
            <w:vAlign w:val="center"/>
          </w:tcPr>
          <w:p>
            <w:pPr>
              <w:jc w:val="left"/>
            </w:pPr>
            <w:r/>
            <w:r>
              <w:rPr>
                <w:rFonts w:ascii="Times New Roman" w:hAnsi="Times New Roman" w:eastAsia="Times New Roman"/>
                <w:b w:val="0"/>
                <w:sz w:val="20"/>
              </w:rPr>
              <w:t>Tạo cơ sở dữ liệu ngoài vùng có tính ổn định dài hạn, làm đối chứng cho A và B.</w:t>
            </w:r>
          </w:p>
        </w:tc>
      </w:tr>
    </w:tbl>
    <w:p/>
    <w:p>
      <w:pPr>
        <w:pStyle w:val="Heading2"/>
      </w:pPr>
      <w:r>
        <w:t>2.1. Nhóm A – lõi vùng phát thải thấp</w:t>
      </w:r>
    </w:p>
    <w:p>
      <w:r>
        <w:t>Nhóm A gồm các tuyến nằm trong Vành đai 1 và ưu tiên các khu vực thực sự được đưa vào triển khai vùng phát thải thấp sớm. Đây là nhóm có vai trò tạo bộ dữ liệu đại diện cho điều kiện đô thị lõi: mật độ nút giao lớn, khoảng cách nút ngắn, nhiều đường một chiều, tốc độ khai thác thấp hơn, tần suất dừng – khởi hành cao và ảnh hưởng mạnh của tổ chức giao thông.</w:t>
      </w:r>
    </w:p>
    <w:p>
      <w:pPr>
        <w:pStyle w:val="ListBullet"/>
        <w:spacing w:after="40"/>
      </w:pPr>
      <w:r>
        <w:rPr>
          <w:rFonts w:ascii="Times New Roman" w:hAnsi="Times New Roman" w:eastAsia="Times New Roman"/>
          <w:sz w:val="24"/>
        </w:rPr>
        <w:t>Dùng làm nguồn chính để xây dựng chu trình lái đặc trưng trong vùng phát thải thấp.</w:t>
      </w:r>
    </w:p>
    <w:p>
      <w:pPr>
        <w:pStyle w:val="ListBullet"/>
        <w:spacing w:after="40"/>
      </w:pPr>
      <w:r>
        <w:rPr>
          <w:rFonts w:ascii="Times New Roman" w:hAnsi="Times New Roman" w:eastAsia="Times New Roman"/>
          <w:sz w:val="24"/>
        </w:rPr>
        <w:t>Đo lặp lại qua các năm để đánh giá mức ổn định của đặc trưng vận hành.</w:t>
      </w:r>
    </w:p>
    <w:p>
      <w:pPr>
        <w:pStyle w:val="ListBullet"/>
        <w:spacing w:after="40"/>
      </w:pPr>
      <w:r>
        <w:rPr>
          <w:rFonts w:ascii="Times New Roman" w:hAnsi="Times New Roman" w:eastAsia="Times New Roman"/>
          <w:sz w:val="24"/>
        </w:rPr>
        <w:t>Ưu tiên giữ cùng hình học tuyến, cùng thiết bị và cùng quy trình đo để giảm biến nhiễu.</w:t>
      </w:r>
    </w:p>
    <w:p>
      <w:pPr>
        <w:pStyle w:val="Heading2"/>
      </w:pPr>
      <w:r>
        <w:t>2.2. Nhóm B – vùng chuyển tiếp Vành đai 1 đến Vành đai 3</w:t>
      </w:r>
    </w:p>
    <w:p>
      <w:r>
        <w:t>Nhóm B là thành phần có giá trị khoa học đặc biệt. Các tuyến trong nhóm này có thể ở ngoài vùng phát thải thấp ở thời điểm đầu nghiên cứu nhưng chuyển sang trạng thái nằm trong vùng khi chính sách mở rộng. Do đó, cùng một hành lang có thể cung cấp dữ liệu “trước khi áp dụng” và “sau khi áp dụng”.</w:t>
      </w:r>
    </w:p>
    <w:p>
      <w:pPr>
        <w:jc w:val="center"/>
      </w:pPr>
      <w:r>
        <w:rPr>
          <w:rFonts w:ascii="Cambria Math" w:hAnsi="Cambria Math" w:eastAsia="Cambria Math"/>
          <w:sz w:val="24"/>
        </w:rPr>
        <w:t>Cùng tuyến B:  trạng thái ngoài vùng (trước)  →  trạng thái trong vùng (sau)</w:t>
      </w:r>
    </w:p>
    <w:p>
      <w:pPr>
        <w:pStyle w:val="ListBullet"/>
        <w:spacing w:after="40"/>
      </w:pPr>
      <w:r>
        <w:rPr>
          <w:rFonts w:ascii="Times New Roman" w:hAnsi="Times New Roman" w:eastAsia="Times New Roman"/>
          <w:sz w:val="24"/>
        </w:rPr>
        <w:t>Giảm sai khác do hình học tuyến vì so sánh trên chính cùng hành lang.</w:t>
      </w:r>
    </w:p>
    <w:p>
      <w:pPr>
        <w:pStyle w:val="ListBullet"/>
        <w:spacing w:after="40"/>
      </w:pPr>
      <w:r>
        <w:rPr>
          <w:rFonts w:ascii="Times New Roman" w:hAnsi="Times New Roman" w:eastAsia="Times New Roman"/>
          <w:sz w:val="24"/>
        </w:rPr>
        <w:t>Giảm sai khác do cấp đường, số làn và cấu trúc mạng nếu các yếu tố này ít thay đổi.</w:t>
      </w:r>
    </w:p>
    <w:p>
      <w:pPr>
        <w:pStyle w:val="ListBullet"/>
        <w:spacing w:after="40"/>
      </w:pPr>
      <w:r>
        <w:rPr>
          <w:rFonts w:ascii="Times New Roman" w:hAnsi="Times New Roman" w:eastAsia="Times New Roman"/>
          <w:sz w:val="24"/>
        </w:rPr>
        <w:t>Tạo cơ sở phân tích sự thay đổi theo chính sách thay vì chỉ so sánh hai không gian khác nhau.</w:t>
      </w:r>
    </w:p>
    <w:p>
      <w:pPr>
        <w:pStyle w:val="Heading2"/>
      </w:pPr>
      <w:r>
        <w:t>2.3. Nhóm C – ngoài Vành đai 3</w:t>
      </w:r>
    </w:p>
    <w:p>
      <w:r>
        <w:t>Nhóm C được xem là nhóm đối chứng ổn định hơn trong toàn giai đoạn nghiên cứu. Các tuyến được lựa chọn ở ngoài Vành đai 3, phân bố theo nhiều hướng và cấp đường, giúp tạo bộ dữ liệu ngoài vùng phát thải thấp không bị thay đổi trạng thái quá sớm trong quá trình nghiên cứu.</w:t>
      </w:r>
    </w:p>
    <w:p>
      <w:pPr>
        <w:pStyle w:val="ListBullet"/>
        <w:spacing w:after="40"/>
      </w:pPr>
      <w:r>
        <w:rPr>
          <w:rFonts w:ascii="Times New Roman" w:hAnsi="Times New Roman" w:eastAsia="Times New Roman"/>
          <w:sz w:val="24"/>
        </w:rPr>
        <w:t>Dùng làm lõi của chu trình lái ngoài vùng phát thải thấp.</w:t>
      </w:r>
    </w:p>
    <w:p>
      <w:pPr>
        <w:pStyle w:val="ListBullet"/>
        <w:spacing w:after="40"/>
      </w:pPr>
      <w:r>
        <w:rPr>
          <w:rFonts w:ascii="Times New Roman" w:hAnsi="Times New Roman" w:eastAsia="Times New Roman"/>
          <w:sz w:val="24"/>
        </w:rPr>
        <w:t>Dùng làm nhóm đối chứng để phân biệt xu thế chung của giao thông Hà Nội với thay đổi liên quan đến chính sách.</w:t>
      </w:r>
    </w:p>
    <w:p>
      <w:pPr>
        <w:pStyle w:val="ListBullet"/>
        <w:spacing w:after="40"/>
      </w:pPr>
      <w:r>
        <w:rPr>
          <w:rFonts w:ascii="Times New Roman" w:hAnsi="Times New Roman" w:eastAsia="Times New Roman"/>
          <w:sz w:val="24"/>
        </w:rPr>
        <w:t>Bổ sung các chế độ vận hành tốc độ cao hơn, chạy đều dài hơn và mật độ nút giao thấp hơn so với vùng lõi.</w:t>
      </w:r>
    </w:p>
    <w:p>
      <w:r>
        <w:br w:type="page"/>
      </w:r>
    </w:p>
    <w:p>
      <w:pPr>
        <w:pStyle w:val="Heading1"/>
      </w:pPr>
      <w:r>
        <w:t>3. Cách phân loại dữ liệu theo thời gian 2026–2030</w:t>
      </w:r>
    </w:p>
    <w:p>
      <w:r>
        <w:t>Không nên gán trạng thái vùng phát thải thấp chỉ theo mã tuyến. Mỗi chuyến đo phải được gắn trạng thái theo ngày đo và phiên bản chính sách đang có hiệu lực.</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7"/>
          </w:tcPr>
          <w:p>
            <w:pPr>
              <w:jc w:val="center"/>
            </w:pPr>
            <w:r/>
            <w:r>
              <w:rPr>
                <w:rFonts w:ascii="Times New Roman" w:hAnsi="Times New Roman" w:eastAsia="Times New Roman"/>
                <w:b/>
                <w:sz w:val="21"/>
              </w:rPr>
              <w:t>Trường dữ liệu</w:t>
            </w:r>
          </w:p>
        </w:tc>
        <w:tc>
          <w:tcPr>
            <w:tcW w:type="dxa" w:w="2268"/>
            <w:vAlign w:val="center"/>
            <w:shd w:fill="D9EAF7"/>
          </w:tcPr>
          <w:p>
            <w:pPr>
              <w:jc w:val="center"/>
            </w:pPr>
            <w:r/>
            <w:r>
              <w:rPr>
                <w:rFonts w:ascii="Times New Roman" w:hAnsi="Times New Roman" w:eastAsia="Times New Roman"/>
                <w:b/>
                <w:sz w:val="21"/>
              </w:rPr>
              <w:t>Ví dụ</w:t>
            </w:r>
          </w:p>
        </w:tc>
        <w:tc>
          <w:tcPr>
            <w:tcW w:type="dxa" w:w="5102"/>
            <w:vAlign w:val="center"/>
            <w:shd w:fill="D9EAF7"/>
          </w:tcPr>
          <w:p>
            <w:pPr>
              <w:jc w:val="center"/>
            </w:pPr>
            <w:r/>
            <w:r>
              <w:rPr>
                <w:rFonts w:ascii="Times New Roman" w:hAnsi="Times New Roman" w:eastAsia="Times New Roman"/>
                <w:b/>
                <w:sz w:val="21"/>
              </w:rPr>
              <w:t>Ý nghĩa</w:t>
            </w:r>
          </w:p>
        </w:tc>
      </w:tr>
      <w:tr>
        <w:tc>
          <w:tcPr>
            <w:tcW w:type="dxa" w:w="2268"/>
            <w:vAlign w:val="center"/>
          </w:tcPr>
          <w:p>
            <w:pPr>
              <w:jc w:val="left"/>
            </w:pPr>
            <w:r/>
            <w:r>
              <w:rPr>
                <w:rFonts w:ascii="Times New Roman" w:hAnsi="Times New Roman" w:eastAsia="Times New Roman"/>
                <w:b w:val="0"/>
                <w:sz w:val="20"/>
              </w:rPr>
              <w:t>Mã tuyến</w:t>
            </w:r>
          </w:p>
        </w:tc>
        <w:tc>
          <w:tcPr>
            <w:tcW w:type="dxa" w:w="2268"/>
            <w:vAlign w:val="center"/>
          </w:tcPr>
          <w:p>
            <w:pPr>
              <w:jc w:val="left"/>
            </w:pPr>
            <w:r/>
            <w:r>
              <w:rPr>
                <w:rFonts w:ascii="Times New Roman" w:hAnsi="Times New Roman" w:eastAsia="Times New Roman"/>
                <w:b w:val="0"/>
                <w:sz w:val="20"/>
              </w:rPr>
              <w:t>B07</w:t>
            </w:r>
          </w:p>
        </w:tc>
        <w:tc>
          <w:tcPr>
            <w:tcW w:type="dxa" w:w="5102"/>
            <w:vAlign w:val="center"/>
          </w:tcPr>
          <w:p>
            <w:pPr>
              <w:jc w:val="left"/>
            </w:pPr>
            <w:r/>
            <w:r>
              <w:rPr>
                <w:rFonts w:ascii="Times New Roman" w:hAnsi="Times New Roman" w:eastAsia="Times New Roman"/>
                <w:b w:val="0"/>
                <w:sz w:val="20"/>
              </w:rPr>
              <w:t>Danh tính không đổi của hành lang nghiên cứu.</w:t>
            </w:r>
          </w:p>
        </w:tc>
      </w:tr>
      <w:tr>
        <w:tc>
          <w:tcPr>
            <w:tcW w:type="dxa" w:w="2268"/>
            <w:vAlign w:val="center"/>
          </w:tcPr>
          <w:p>
            <w:pPr>
              <w:jc w:val="left"/>
            </w:pPr>
            <w:r/>
            <w:r>
              <w:rPr>
                <w:rFonts w:ascii="Times New Roman" w:hAnsi="Times New Roman" w:eastAsia="Times New Roman"/>
                <w:b w:val="0"/>
                <w:sz w:val="20"/>
              </w:rPr>
              <w:t>Ngày khảo sát</w:t>
            </w:r>
          </w:p>
        </w:tc>
        <w:tc>
          <w:tcPr>
            <w:tcW w:type="dxa" w:w="2268"/>
            <w:vAlign w:val="center"/>
          </w:tcPr>
          <w:p>
            <w:pPr>
              <w:jc w:val="left"/>
            </w:pPr>
            <w:r/>
            <w:r>
              <w:rPr>
                <w:rFonts w:ascii="Times New Roman" w:hAnsi="Times New Roman" w:eastAsia="Times New Roman"/>
                <w:b w:val="0"/>
                <w:sz w:val="20"/>
              </w:rPr>
              <w:t>18/05/2028</w:t>
            </w:r>
          </w:p>
        </w:tc>
        <w:tc>
          <w:tcPr>
            <w:tcW w:type="dxa" w:w="5102"/>
            <w:vAlign w:val="center"/>
          </w:tcPr>
          <w:p>
            <w:pPr>
              <w:jc w:val="left"/>
            </w:pPr>
            <w:r/>
            <w:r>
              <w:rPr>
                <w:rFonts w:ascii="Times New Roman" w:hAnsi="Times New Roman" w:eastAsia="Times New Roman"/>
                <w:b w:val="0"/>
                <w:sz w:val="20"/>
              </w:rPr>
              <w:t>Mốc thời gian để xác định trạng thái chính sách.</w:t>
            </w:r>
          </w:p>
        </w:tc>
      </w:tr>
      <w:tr>
        <w:tc>
          <w:tcPr>
            <w:tcW w:type="dxa" w:w="2268"/>
            <w:vAlign w:val="center"/>
          </w:tcPr>
          <w:p>
            <w:pPr>
              <w:jc w:val="left"/>
            </w:pPr>
            <w:r/>
            <w:r>
              <w:rPr>
                <w:rFonts w:ascii="Times New Roman" w:hAnsi="Times New Roman" w:eastAsia="Times New Roman"/>
                <w:b w:val="0"/>
                <w:sz w:val="20"/>
              </w:rPr>
              <w:t>Nhóm không gian</w:t>
            </w:r>
          </w:p>
        </w:tc>
        <w:tc>
          <w:tcPr>
            <w:tcW w:type="dxa" w:w="2268"/>
            <w:vAlign w:val="center"/>
          </w:tcPr>
          <w:p>
            <w:pPr>
              <w:jc w:val="left"/>
            </w:pPr>
            <w:r/>
            <w:r>
              <w:rPr>
                <w:rFonts w:ascii="Times New Roman" w:hAnsi="Times New Roman" w:eastAsia="Times New Roman"/>
                <w:b w:val="0"/>
                <w:sz w:val="20"/>
              </w:rPr>
              <w:t>B</w:t>
            </w:r>
          </w:p>
        </w:tc>
        <w:tc>
          <w:tcPr>
            <w:tcW w:type="dxa" w:w="5102"/>
            <w:vAlign w:val="center"/>
          </w:tcPr>
          <w:p>
            <w:pPr>
              <w:jc w:val="left"/>
            </w:pPr>
            <w:r/>
            <w:r>
              <w:rPr>
                <w:rFonts w:ascii="Times New Roman" w:hAnsi="Times New Roman" w:eastAsia="Times New Roman"/>
                <w:b w:val="0"/>
                <w:sz w:val="20"/>
              </w:rPr>
              <w:t>A/B/C theo thiết kế ban đầu.</w:t>
            </w:r>
          </w:p>
        </w:tc>
      </w:tr>
      <w:tr>
        <w:tc>
          <w:tcPr>
            <w:tcW w:type="dxa" w:w="2268"/>
            <w:vAlign w:val="center"/>
          </w:tcPr>
          <w:p>
            <w:pPr>
              <w:jc w:val="left"/>
            </w:pPr>
            <w:r/>
            <w:r>
              <w:rPr>
                <w:rFonts w:ascii="Times New Roman" w:hAnsi="Times New Roman" w:eastAsia="Times New Roman"/>
                <w:b w:val="0"/>
                <w:sz w:val="20"/>
              </w:rPr>
              <w:t>Trạng thái vùng tại thời điểm đo</w:t>
            </w:r>
          </w:p>
        </w:tc>
        <w:tc>
          <w:tcPr>
            <w:tcW w:type="dxa" w:w="2268"/>
            <w:vAlign w:val="center"/>
          </w:tcPr>
          <w:p>
            <w:pPr>
              <w:jc w:val="left"/>
            </w:pPr>
            <w:r/>
            <w:r>
              <w:rPr>
                <w:rFonts w:ascii="Times New Roman" w:hAnsi="Times New Roman" w:eastAsia="Times New Roman"/>
                <w:b w:val="0"/>
                <w:sz w:val="20"/>
              </w:rPr>
              <w:t>0 hoặc 1</w:t>
            </w:r>
          </w:p>
        </w:tc>
        <w:tc>
          <w:tcPr>
            <w:tcW w:type="dxa" w:w="5102"/>
            <w:vAlign w:val="center"/>
          </w:tcPr>
          <w:p>
            <w:pPr>
              <w:jc w:val="left"/>
            </w:pPr>
            <w:r/>
            <w:r>
              <w:rPr>
                <w:rFonts w:ascii="Times New Roman" w:hAnsi="Times New Roman" w:eastAsia="Times New Roman"/>
                <w:b w:val="0"/>
                <w:sz w:val="20"/>
              </w:rPr>
              <w:t>0 = ngoài vùng; 1 = trong vùng.</w:t>
            </w:r>
          </w:p>
        </w:tc>
      </w:tr>
      <w:tr>
        <w:tc>
          <w:tcPr>
            <w:tcW w:type="dxa" w:w="2268"/>
            <w:vAlign w:val="center"/>
          </w:tcPr>
          <w:p>
            <w:pPr>
              <w:jc w:val="left"/>
            </w:pPr>
            <w:r/>
            <w:r>
              <w:rPr>
                <w:rFonts w:ascii="Times New Roman" w:hAnsi="Times New Roman" w:eastAsia="Times New Roman"/>
                <w:b w:val="0"/>
                <w:sz w:val="20"/>
              </w:rPr>
              <w:t>Phiên bản chính sách</w:t>
            </w:r>
          </w:p>
        </w:tc>
        <w:tc>
          <w:tcPr>
            <w:tcW w:type="dxa" w:w="2268"/>
            <w:vAlign w:val="center"/>
          </w:tcPr>
          <w:p>
            <w:pPr>
              <w:jc w:val="left"/>
            </w:pPr>
            <w:r/>
            <w:r>
              <w:rPr>
                <w:rFonts w:ascii="Times New Roman" w:hAnsi="Times New Roman" w:eastAsia="Times New Roman"/>
                <w:b w:val="0"/>
                <w:sz w:val="20"/>
              </w:rPr>
              <w:t>VPTT_2028</w:t>
            </w:r>
          </w:p>
        </w:tc>
        <w:tc>
          <w:tcPr>
            <w:tcW w:type="dxa" w:w="5102"/>
            <w:vAlign w:val="center"/>
          </w:tcPr>
          <w:p>
            <w:pPr>
              <w:jc w:val="left"/>
            </w:pPr>
            <w:r/>
            <w:r>
              <w:rPr>
                <w:rFonts w:ascii="Times New Roman" w:hAnsi="Times New Roman" w:eastAsia="Times New Roman"/>
                <w:b w:val="0"/>
                <w:sz w:val="20"/>
              </w:rPr>
              <w:t>Phiên bản ranh giới/chính sách dùng phân loại.</w:t>
            </w:r>
          </w:p>
        </w:tc>
      </w:tr>
      <w:tr>
        <w:tc>
          <w:tcPr>
            <w:tcW w:type="dxa" w:w="2268"/>
            <w:vAlign w:val="center"/>
          </w:tcPr>
          <w:p>
            <w:pPr>
              <w:jc w:val="left"/>
            </w:pPr>
            <w:r/>
            <w:r>
              <w:rPr>
                <w:rFonts w:ascii="Times New Roman" w:hAnsi="Times New Roman" w:eastAsia="Times New Roman"/>
                <w:b w:val="0"/>
                <w:sz w:val="20"/>
              </w:rPr>
              <w:t>Cấp đường</w:t>
            </w:r>
          </w:p>
        </w:tc>
        <w:tc>
          <w:tcPr>
            <w:tcW w:type="dxa" w:w="2268"/>
            <w:vAlign w:val="center"/>
          </w:tcPr>
          <w:p>
            <w:pPr>
              <w:jc w:val="left"/>
            </w:pPr>
            <w:r/>
            <w:r>
              <w:rPr>
                <w:rFonts w:ascii="Times New Roman" w:hAnsi="Times New Roman" w:eastAsia="Times New Roman"/>
                <w:b w:val="0"/>
                <w:sz w:val="20"/>
              </w:rPr>
              <w:t>RC2</w:t>
            </w:r>
          </w:p>
        </w:tc>
        <w:tc>
          <w:tcPr>
            <w:tcW w:type="dxa" w:w="5102"/>
            <w:vAlign w:val="center"/>
          </w:tcPr>
          <w:p>
            <w:pPr>
              <w:jc w:val="left"/>
            </w:pPr>
            <w:r/>
            <w:r>
              <w:rPr>
                <w:rFonts w:ascii="Times New Roman" w:hAnsi="Times New Roman" w:eastAsia="Times New Roman"/>
                <w:b w:val="0"/>
                <w:sz w:val="20"/>
              </w:rPr>
              <w:t>Kiểm soát ảnh hưởng của loại đường.</w:t>
            </w:r>
          </w:p>
        </w:tc>
      </w:tr>
      <w:tr>
        <w:tc>
          <w:tcPr>
            <w:tcW w:type="dxa" w:w="2268"/>
            <w:vAlign w:val="center"/>
          </w:tcPr>
          <w:p>
            <w:pPr>
              <w:jc w:val="left"/>
            </w:pPr>
            <w:r/>
            <w:r>
              <w:rPr>
                <w:rFonts w:ascii="Times New Roman" w:hAnsi="Times New Roman" w:eastAsia="Times New Roman"/>
                <w:b w:val="0"/>
                <w:sz w:val="20"/>
              </w:rPr>
              <w:t>Mã chuyến</w:t>
            </w:r>
          </w:p>
        </w:tc>
        <w:tc>
          <w:tcPr>
            <w:tcW w:type="dxa" w:w="2268"/>
            <w:vAlign w:val="center"/>
          </w:tcPr>
          <w:p>
            <w:pPr>
              <w:jc w:val="left"/>
            </w:pPr>
            <w:r/>
            <w:r>
              <w:rPr>
                <w:rFonts w:ascii="Times New Roman" w:hAnsi="Times New Roman" w:eastAsia="Times New Roman"/>
                <w:b w:val="0"/>
                <w:sz w:val="20"/>
              </w:rPr>
              <w:t>B07_20280518_S01</w:t>
            </w:r>
          </w:p>
        </w:tc>
        <w:tc>
          <w:tcPr>
            <w:tcW w:type="dxa" w:w="5102"/>
            <w:vAlign w:val="center"/>
          </w:tcPr>
          <w:p>
            <w:pPr>
              <w:jc w:val="left"/>
            </w:pPr>
            <w:r/>
            <w:r>
              <w:rPr>
                <w:rFonts w:ascii="Times New Roman" w:hAnsi="Times New Roman" w:eastAsia="Times New Roman"/>
                <w:b w:val="0"/>
                <w:sz w:val="20"/>
              </w:rPr>
              <w:t>Nhận dạng duy nhất cho mỗi lần đo.</w:t>
            </w:r>
          </w:p>
        </w:tc>
      </w:tr>
    </w:tbl>
    <w:p/>
    <w:p>
      <w:pPr>
        <w:jc w:val="center"/>
      </w:pPr>
      <w:r>
        <w:rPr>
          <w:rFonts w:ascii="Cambria Math" w:hAnsi="Cambria Math" w:eastAsia="Cambria Math"/>
          <w:sz w:val="24"/>
        </w:rPr>
        <w:t>Trạng thái_vùng(tuyến, ngày đo) = 1 nếu tuyến thuộc vùng tại ngày đo; = 0 nếu chưa thuộc vùng</w:t>
      </w:r>
    </w:p>
    <w:p>
      <w:r>
        <w:t>Nhờ cách này, dữ liệu nhóm B không bị “nhiễm” giữa hai thời kỳ. Một tuyến B có thể đóng góp cho bộ dữ liệu ngoài vùng ở giai đoạn đầu, rồi đóng góp cho bộ dữ liệu trong vùng ở giai đoạn sau; nhưng trạng thái luôn được xác định minh bạch theo ngày đo.</w:t>
      </w:r>
    </w:p>
    <w:p>
      <w:pPr>
        <w:pStyle w:val="Heading1"/>
      </w:pPr>
      <w:r>
        <w:t>4. Đề xuất cơ cấu 60 tuyến ứng viên theo ba nhóm</w:t>
      </w:r>
    </w:p>
    <w:p>
      <w:r>
        <w:t>Để cân bằng giữa độ phủ không gian và khả năng theo dõi chính sách, có thể dùng cấu trúc ứng viên 20–20–20. Đây là phương án thiết kế ban đầu, không phải tỷ lệ bắt buộc.</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134"/>
            <w:vAlign w:val="center"/>
            <w:shd w:fill="D9EAF7"/>
          </w:tcPr>
          <w:p>
            <w:pPr>
              <w:jc w:val="center"/>
            </w:pPr>
            <w:r/>
            <w:r>
              <w:rPr>
                <w:rFonts w:ascii="Times New Roman" w:hAnsi="Times New Roman" w:eastAsia="Times New Roman"/>
                <w:b/>
                <w:sz w:val="21"/>
              </w:rPr>
              <w:t>Nhóm</w:t>
            </w:r>
          </w:p>
        </w:tc>
        <w:tc>
          <w:tcPr>
            <w:tcW w:type="dxa" w:w="2154"/>
            <w:vAlign w:val="center"/>
            <w:shd w:fill="D9EAF7"/>
          </w:tcPr>
          <w:p>
            <w:pPr>
              <w:jc w:val="center"/>
            </w:pPr>
            <w:r/>
            <w:r>
              <w:rPr>
                <w:rFonts w:ascii="Times New Roman" w:hAnsi="Times New Roman" w:eastAsia="Times New Roman"/>
                <w:b/>
                <w:sz w:val="21"/>
              </w:rPr>
              <w:t>Số tuyến ứng viên</w:t>
            </w:r>
          </w:p>
        </w:tc>
        <w:tc>
          <w:tcPr>
            <w:tcW w:type="dxa" w:w="3969"/>
            <w:vAlign w:val="center"/>
            <w:shd w:fill="D9EAF7"/>
          </w:tcPr>
          <w:p>
            <w:pPr>
              <w:jc w:val="center"/>
            </w:pPr>
            <w:r/>
            <w:r>
              <w:rPr>
                <w:rFonts w:ascii="Times New Roman" w:hAnsi="Times New Roman" w:eastAsia="Times New Roman"/>
                <w:b/>
                <w:sz w:val="21"/>
              </w:rPr>
              <w:t>Vai trò</w:t>
            </w:r>
          </w:p>
        </w:tc>
        <w:tc>
          <w:tcPr>
            <w:tcW w:type="dxa" w:w="2551"/>
            <w:vAlign w:val="center"/>
            <w:shd w:fill="D9EAF7"/>
          </w:tcPr>
          <w:p>
            <w:pPr>
              <w:jc w:val="center"/>
            </w:pPr>
            <w:r/>
            <w:r>
              <w:rPr>
                <w:rFonts w:ascii="Times New Roman" w:hAnsi="Times New Roman" w:eastAsia="Times New Roman"/>
                <w:b/>
                <w:sz w:val="21"/>
              </w:rPr>
              <w:t>Số tuyến đo chính gợi ý</w:t>
            </w:r>
          </w:p>
        </w:tc>
      </w:tr>
      <w:tr>
        <w:tc>
          <w:tcPr>
            <w:tcW w:type="dxa" w:w="1134"/>
            <w:vAlign w:val="center"/>
          </w:tcPr>
          <w:p>
            <w:pPr>
              <w:jc w:val="left"/>
            </w:pPr>
            <w:r/>
            <w:r>
              <w:rPr>
                <w:rFonts w:ascii="Times New Roman" w:hAnsi="Times New Roman" w:eastAsia="Times New Roman"/>
                <w:b w:val="0"/>
                <w:sz w:val="20"/>
              </w:rPr>
              <w:t>A</w:t>
            </w:r>
          </w:p>
        </w:tc>
        <w:tc>
          <w:tcPr>
            <w:tcW w:type="dxa" w:w="2154"/>
            <w:vAlign w:val="center"/>
          </w:tcPr>
          <w:p>
            <w:pPr>
              <w:jc w:val="left"/>
            </w:pPr>
            <w:r/>
            <w:r>
              <w:rPr>
                <w:rFonts w:ascii="Times New Roman" w:hAnsi="Times New Roman" w:eastAsia="Times New Roman"/>
                <w:b w:val="0"/>
                <w:sz w:val="20"/>
              </w:rPr>
              <w:t>20</w:t>
            </w:r>
          </w:p>
        </w:tc>
        <w:tc>
          <w:tcPr>
            <w:tcW w:type="dxa" w:w="3969"/>
            <w:vAlign w:val="center"/>
          </w:tcPr>
          <w:p>
            <w:pPr>
              <w:jc w:val="left"/>
            </w:pPr>
            <w:r/>
            <w:r>
              <w:rPr>
                <w:rFonts w:ascii="Times New Roman" w:hAnsi="Times New Roman" w:eastAsia="Times New Roman"/>
                <w:b w:val="0"/>
                <w:sz w:val="20"/>
              </w:rPr>
              <w:t>Lõi vùng phát thải thấp</w:t>
            </w:r>
          </w:p>
        </w:tc>
        <w:tc>
          <w:tcPr>
            <w:tcW w:type="dxa" w:w="2551"/>
            <w:vAlign w:val="center"/>
          </w:tcPr>
          <w:p>
            <w:pPr>
              <w:jc w:val="left"/>
            </w:pPr>
            <w:r/>
            <w:r>
              <w:rPr>
                <w:rFonts w:ascii="Times New Roman" w:hAnsi="Times New Roman" w:eastAsia="Times New Roman"/>
                <w:b w:val="0"/>
                <w:sz w:val="20"/>
              </w:rPr>
              <w:t>10</w:t>
            </w:r>
          </w:p>
        </w:tc>
      </w:tr>
      <w:tr>
        <w:tc>
          <w:tcPr>
            <w:tcW w:type="dxa" w:w="1134"/>
            <w:vAlign w:val="center"/>
          </w:tcPr>
          <w:p>
            <w:pPr>
              <w:jc w:val="left"/>
            </w:pPr>
            <w:r/>
            <w:r>
              <w:rPr>
                <w:rFonts w:ascii="Times New Roman" w:hAnsi="Times New Roman" w:eastAsia="Times New Roman"/>
                <w:b w:val="0"/>
                <w:sz w:val="20"/>
              </w:rPr>
              <w:t>B</w:t>
            </w:r>
          </w:p>
        </w:tc>
        <w:tc>
          <w:tcPr>
            <w:tcW w:type="dxa" w:w="2154"/>
            <w:vAlign w:val="center"/>
          </w:tcPr>
          <w:p>
            <w:pPr>
              <w:jc w:val="left"/>
            </w:pPr>
            <w:r/>
            <w:r>
              <w:rPr>
                <w:rFonts w:ascii="Times New Roman" w:hAnsi="Times New Roman" w:eastAsia="Times New Roman"/>
                <w:b w:val="0"/>
                <w:sz w:val="20"/>
              </w:rPr>
              <w:t>20</w:t>
            </w:r>
          </w:p>
        </w:tc>
        <w:tc>
          <w:tcPr>
            <w:tcW w:type="dxa" w:w="3969"/>
            <w:vAlign w:val="center"/>
          </w:tcPr>
          <w:p>
            <w:pPr>
              <w:jc w:val="left"/>
            </w:pPr>
            <w:r/>
            <w:r>
              <w:rPr>
                <w:rFonts w:ascii="Times New Roman" w:hAnsi="Times New Roman" w:eastAsia="Times New Roman"/>
                <w:b w:val="0"/>
                <w:sz w:val="20"/>
              </w:rPr>
              <w:t>Chuyển tiếp chính sách</w:t>
            </w:r>
          </w:p>
        </w:tc>
        <w:tc>
          <w:tcPr>
            <w:tcW w:type="dxa" w:w="2551"/>
            <w:vAlign w:val="center"/>
          </w:tcPr>
          <w:p>
            <w:pPr>
              <w:jc w:val="left"/>
            </w:pPr>
            <w:r/>
            <w:r>
              <w:rPr>
                <w:rFonts w:ascii="Times New Roman" w:hAnsi="Times New Roman" w:eastAsia="Times New Roman"/>
                <w:b w:val="0"/>
                <w:sz w:val="20"/>
              </w:rPr>
              <w:t>8</w:t>
            </w:r>
          </w:p>
        </w:tc>
      </w:tr>
      <w:tr>
        <w:tc>
          <w:tcPr>
            <w:tcW w:type="dxa" w:w="1134"/>
            <w:vAlign w:val="center"/>
          </w:tcPr>
          <w:p>
            <w:pPr>
              <w:jc w:val="left"/>
            </w:pPr>
            <w:r/>
            <w:r>
              <w:rPr>
                <w:rFonts w:ascii="Times New Roman" w:hAnsi="Times New Roman" w:eastAsia="Times New Roman"/>
                <w:b w:val="0"/>
                <w:sz w:val="20"/>
              </w:rPr>
              <w:t>C</w:t>
            </w:r>
          </w:p>
        </w:tc>
        <w:tc>
          <w:tcPr>
            <w:tcW w:type="dxa" w:w="2154"/>
            <w:vAlign w:val="center"/>
          </w:tcPr>
          <w:p>
            <w:pPr>
              <w:jc w:val="left"/>
            </w:pPr>
            <w:r/>
            <w:r>
              <w:rPr>
                <w:rFonts w:ascii="Times New Roman" w:hAnsi="Times New Roman" w:eastAsia="Times New Roman"/>
                <w:b w:val="0"/>
                <w:sz w:val="20"/>
              </w:rPr>
              <w:t>20</w:t>
            </w:r>
          </w:p>
        </w:tc>
        <w:tc>
          <w:tcPr>
            <w:tcW w:type="dxa" w:w="3969"/>
            <w:vAlign w:val="center"/>
          </w:tcPr>
          <w:p>
            <w:pPr>
              <w:jc w:val="left"/>
            </w:pPr>
            <w:r/>
            <w:r>
              <w:rPr>
                <w:rFonts w:ascii="Times New Roman" w:hAnsi="Times New Roman" w:eastAsia="Times New Roman"/>
                <w:b w:val="0"/>
                <w:sz w:val="20"/>
              </w:rPr>
              <w:t>Đối chứng ổn định</w:t>
            </w:r>
          </w:p>
        </w:tc>
        <w:tc>
          <w:tcPr>
            <w:tcW w:type="dxa" w:w="2551"/>
            <w:vAlign w:val="center"/>
          </w:tcPr>
          <w:p>
            <w:pPr>
              <w:jc w:val="left"/>
            </w:pPr>
            <w:r/>
            <w:r>
              <w:rPr>
                <w:rFonts w:ascii="Times New Roman" w:hAnsi="Times New Roman" w:eastAsia="Times New Roman"/>
                <w:b w:val="0"/>
                <w:sz w:val="20"/>
              </w:rPr>
              <w:t>12</w:t>
            </w:r>
          </w:p>
        </w:tc>
      </w:tr>
      <w:tr>
        <w:tc>
          <w:tcPr>
            <w:tcW w:type="dxa" w:w="1134"/>
            <w:vAlign w:val="center"/>
          </w:tcPr>
          <w:p>
            <w:pPr>
              <w:jc w:val="left"/>
            </w:pPr>
            <w:r/>
            <w:r>
              <w:rPr>
                <w:rFonts w:ascii="Times New Roman" w:hAnsi="Times New Roman" w:eastAsia="Times New Roman"/>
                <w:b w:val="0"/>
                <w:sz w:val="20"/>
              </w:rPr>
              <w:t>Tổng</w:t>
            </w:r>
          </w:p>
        </w:tc>
        <w:tc>
          <w:tcPr>
            <w:tcW w:type="dxa" w:w="2154"/>
            <w:vAlign w:val="center"/>
          </w:tcPr>
          <w:p>
            <w:pPr>
              <w:jc w:val="left"/>
            </w:pPr>
            <w:r/>
            <w:r>
              <w:rPr>
                <w:rFonts w:ascii="Times New Roman" w:hAnsi="Times New Roman" w:eastAsia="Times New Roman"/>
                <w:b w:val="0"/>
                <w:sz w:val="20"/>
              </w:rPr>
              <w:t>60</w:t>
            </w:r>
          </w:p>
        </w:tc>
        <w:tc>
          <w:tcPr>
            <w:tcW w:type="dxa" w:w="3969"/>
            <w:vAlign w:val="center"/>
          </w:tcPr>
          <w:p>
            <w:pPr>
              <w:jc w:val="left"/>
            </w:pPr>
            <w:r/>
            <w:r>
              <w:rPr>
                <w:rFonts w:ascii="Times New Roman" w:hAnsi="Times New Roman" w:eastAsia="Times New Roman"/>
                <w:b w:val="0"/>
                <w:sz w:val="20"/>
              </w:rPr>
              <w:t>Bao phủ toàn bộ cấu trúc nghiên cứu</w:t>
            </w:r>
          </w:p>
        </w:tc>
        <w:tc>
          <w:tcPr>
            <w:tcW w:type="dxa" w:w="2551"/>
            <w:vAlign w:val="center"/>
          </w:tcPr>
          <w:p>
            <w:pPr>
              <w:jc w:val="left"/>
            </w:pPr>
            <w:r/>
            <w:r>
              <w:rPr>
                <w:rFonts w:ascii="Times New Roman" w:hAnsi="Times New Roman" w:eastAsia="Times New Roman"/>
                <w:b w:val="0"/>
                <w:sz w:val="20"/>
              </w:rPr>
              <w:t>30</w:t>
            </w:r>
          </w:p>
        </w:tc>
      </w:tr>
    </w:tbl>
    <w:p/>
    <w:p>
      <w:r>
        <w:t>Phương án 10A + 8B + 12C có ưu điểm: nhóm A đủ để xây lõi chu trình trong vùng; nhóm C rộng hơn nên được dành nhiều tuyến hơn để bao phủ sự đa dạng của mạng ngoài đô thị; nhóm B đủ lớn để tạo chuỗi quan sát trước–sau trên các hành lang chuyển tiếp.</w:t>
      </w:r>
    </w:p>
    <w:p>
      <w:r>
        <w:br w:type="page"/>
      </w:r>
    </w:p>
    <w:p>
      <w:pPr>
        <w:pStyle w:val="Heading1"/>
      </w:pPr>
      <w:r>
        <w:t>5. Cách sử dụng ba nhóm để xây hai chu trình lái độc lập</w:t>
      </w:r>
    </w:p>
    <w:p>
      <w:r>
        <w:t>Ba nhóm không đồng nghĩa với ba chu trình lái. Mục tiêu cuối cùng vẫn là hai chu trình: chu trình trong vùng phát thải thấp và chu trình ngoài vùng phát thải thấp.</w:t>
      </w:r>
    </w:p>
    <w:tbl>
      <w:tblPr>
        <w:tblStyle w:val="TableGrid"/>
        <w:tblW w:type="auto" w:w="0"/>
        <w:jc w:val="center"/>
        <w:tblLook w:firstColumn="1" w:firstRow="1" w:lastColumn="0" w:lastRow="0" w:noHBand="0" w:noVBand="1" w:val="04A0"/>
      </w:tblPr>
      <w:tblGrid>
        <w:gridCol w:w="3286"/>
        <w:gridCol w:w="3286"/>
        <w:gridCol w:w="3286"/>
      </w:tblGrid>
      <w:tr>
        <w:tc>
          <w:tcPr>
            <w:tcW w:type="dxa" w:w="2835"/>
            <w:vAlign w:val="center"/>
            <w:shd w:fill="D9EAF7"/>
          </w:tcPr>
          <w:p>
            <w:pPr>
              <w:jc w:val="center"/>
            </w:pPr>
            <w:r/>
            <w:r>
              <w:rPr>
                <w:rFonts w:ascii="Times New Roman" w:hAnsi="Times New Roman" w:eastAsia="Times New Roman"/>
                <w:b/>
                <w:sz w:val="21"/>
              </w:rPr>
              <w:t>Nguồn dữ liệu</w:t>
            </w:r>
          </w:p>
        </w:tc>
        <w:tc>
          <w:tcPr>
            <w:tcW w:type="dxa" w:w="3402"/>
            <w:vAlign w:val="center"/>
            <w:shd w:fill="D9EAF7"/>
          </w:tcPr>
          <w:p>
            <w:pPr>
              <w:jc w:val="center"/>
            </w:pPr>
            <w:r/>
            <w:r>
              <w:rPr>
                <w:rFonts w:ascii="Times New Roman" w:hAnsi="Times New Roman" w:eastAsia="Times New Roman"/>
                <w:b/>
                <w:sz w:val="21"/>
              </w:rPr>
              <w:t>Vai trò đối với chu trình trong vùng</w:t>
            </w:r>
          </w:p>
        </w:tc>
        <w:tc>
          <w:tcPr>
            <w:tcW w:type="dxa" w:w="3402"/>
            <w:vAlign w:val="center"/>
            <w:shd w:fill="D9EAF7"/>
          </w:tcPr>
          <w:p>
            <w:pPr>
              <w:jc w:val="center"/>
            </w:pPr>
            <w:r/>
            <w:r>
              <w:rPr>
                <w:rFonts w:ascii="Times New Roman" w:hAnsi="Times New Roman" w:eastAsia="Times New Roman"/>
                <w:b/>
                <w:sz w:val="21"/>
              </w:rPr>
              <w:t>Vai trò đối với chu trình ngoài vùng</w:t>
            </w:r>
          </w:p>
        </w:tc>
      </w:tr>
      <w:tr>
        <w:tc>
          <w:tcPr>
            <w:tcW w:type="dxa" w:w="2835"/>
            <w:vAlign w:val="center"/>
          </w:tcPr>
          <w:p>
            <w:pPr>
              <w:jc w:val="left"/>
            </w:pPr>
            <w:r/>
            <w:r>
              <w:rPr>
                <w:rFonts w:ascii="Times New Roman" w:hAnsi="Times New Roman" w:eastAsia="Times New Roman"/>
                <w:b w:val="0"/>
                <w:sz w:val="20"/>
              </w:rPr>
              <w:t>Nhóm A</w:t>
            </w:r>
          </w:p>
        </w:tc>
        <w:tc>
          <w:tcPr>
            <w:tcW w:type="dxa" w:w="3402"/>
            <w:vAlign w:val="center"/>
          </w:tcPr>
          <w:p>
            <w:pPr>
              <w:jc w:val="left"/>
            </w:pPr>
            <w:r/>
            <w:r>
              <w:rPr>
                <w:rFonts w:ascii="Times New Roman" w:hAnsi="Times New Roman" w:eastAsia="Times New Roman"/>
                <w:b w:val="0"/>
                <w:sz w:val="20"/>
              </w:rPr>
              <w:t>Nguồn chính</w:t>
            </w:r>
          </w:p>
        </w:tc>
        <w:tc>
          <w:tcPr>
            <w:tcW w:type="dxa" w:w="3402"/>
            <w:vAlign w:val="center"/>
          </w:tcPr>
          <w:p>
            <w:pPr>
              <w:jc w:val="left"/>
            </w:pPr>
            <w:r/>
            <w:r>
              <w:rPr>
                <w:rFonts w:ascii="Times New Roman" w:hAnsi="Times New Roman" w:eastAsia="Times New Roman"/>
                <w:b w:val="0"/>
                <w:sz w:val="20"/>
              </w:rPr>
              <w:t>Không sử dụng</w:t>
            </w:r>
          </w:p>
        </w:tc>
      </w:tr>
      <w:tr>
        <w:tc>
          <w:tcPr>
            <w:tcW w:type="dxa" w:w="2835"/>
            <w:vAlign w:val="center"/>
          </w:tcPr>
          <w:p>
            <w:pPr>
              <w:jc w:val="left"/>
            </w:pPr>
            <w:r/>
            <w:r>
              <w:rPr>
                <w:rFonts w:ascii="Times New Roman" w:hAnsi="Times New Roman" w:eastAsia="Times New Roman"/>
                <w:b w:val="0"/>
                <w:sz w:val="20"/>
              </w:rPr>
              <w:t>Nhóm B – sau khi tuyến đã thuộc vùng</w:t>
            </w:r>
          </w:p>
        </w:tc>
        <w:tc>
          <w:tcPr>
            <w:tcW w:type="dxa" w:w="3402"/>
            <w:vAlign w:val="center"/>
          </w:tcPr>
          <w:p>
            <w:pPr>
              <w:jc w:val="left"/>
            </w:pPr>
            <w:r/>
            <w:r>
              <w:rPr>
                <w:rFonts w:ascii="Times New Roman" w:hAnsi="Times New Roman" w:eastAsia="Times New Roman"/>
                <w:b w:val="0"/>
                <w:sz w:val="20"/>
              </w:rPr>
              <w:t>Nguồn bổ sung/kiểm định</w:t>
            </w:r>
          </w:p>
        </w:tc>
        <w:tc>
          <w:tcPr>
            <w:tcW w:type="dxa" w:w="3402"/>
            <w:vAlign w:val="center"/>
          </w:tcPr>
          <w:p>
            <w:pPr>
              <w:jc w:val="left"/>
            </w:pPr>
            <w:r/>
            <w:r>
              <w:rPr>
                <w:rFonts w:ascii="Times New Roman" w:hAnsi="Times New Roman" w:eastAsia="Times New Roman"/>
                <w:b w:val="0"/>
                <w:sz w:val="20"/>
              </w:rPr>
              <w:t>Không sử dụng cho thời kỳ sau</w:t>
            </w:r>
          </w:p>
        </w:tc>
      </w:tr>
      <w:tr>
        <w:tc>
          <w:tcPr>
            <w:tcW w:type="dxa" w:w="2835"/>
            <w:vAlign w:val="center"/>
          </w:tcPr>
          <w:p>
            <w:pPr>
              <w:jc w:val="left"/>
            </w:pPr>
            <w:r/>
            <w:r>
              <w:rPr>
                <w:rFonts w:ascii="Times New Roman" w:hAnsi="Times New Roman" w:eastAsia="Times New Roman"/>
                <w:b w:val="0"/>
                <w:sz w:val="20"/>
              </w:rPr>
              <w:t>Nhóm B – trước khi tuyến thuộc vùng</w:t>
            </w:r>
          </w:p>
        </w:tc>
        <w:tc>
          <w:tcPr>
            <w:tcW w:type="dxa" w:w="3402"/>
            <w:vAlign w:val="center"/>
          </w:tcPr>
          <w:p>
            <w:pPr>
              <w:jc w:val="left"/>
            </w:pPr>
            <w:r/>
            <w:r>
              <w:rPr>
                <w:rFonts w:ascii="Times New Roman" w:hAnsi="Times New Roman" w:eastAsia="Times New Roman"/>
                <w:b w:val="0"/>
                <w:sz w:val="20"/>
              </w:rPr>
              <w:t>Không sử dụng cho thời kỳ trước</w:t>
            </w:r>
          </w:p>
        </w:tc>
        <w:tc>
          <w:tcPr>
            <w:tcW w:type="dxa" w:w="3402"/>
            <w:vAlign w:val="center"/>
          </w:tcPr>
          <w:p>
            <w:pPr>
              <w:jc w:val="left"/>
            </w:pPr>
            <w:r/>
            <w:r>
              <w:rPr>
                <w:rFonts w:ascii="Times New Roman" w:hAnsi="Times New Roman" w:eastAsia="Times New Roman"/>
                <w:b w:val="0"/>
                <w:sz w:val="20"/>
              </w:rPr>
              <w:t>Nguồn bổ sung/kiểm định</w:t>
            </w:r>
          </w:p>
        </w:tc>
      </w:tr>
      <w:tr>
        <w:tc>
          <w:tcPr>
            <w:tcW w:type="dxa" w:w="2835"/>
            <w:vAlign w:val="center"/>
          </w:tcPr>
          <w:p>
            <w:pPr>
              <w:jc w:val="left"/>
            </w:pPr>
            <w:r/>
            <w:r>
              <w:rPr>
                <w:rFonts w:ascii="Times New Roman" w:hAnsi="Times New Roman" w:eastAsia="Times New Roman"/>
                <w:b w:val="0"/>
                <w:sz w:val="20"/>
              </w:rPr>
              <w:t>Nhóm C</w:t>
            </w:r>
          </w:p>
        </w:tc>
        <w:tc>
          <w:tcPr>
            <w:tcW w:type="dxa" w:w="3402"/>
            <w:vAlign w:val="center"/>
          </w:tcPr>
          <w:p>
            <w:pPr>
              <w:jc w:val="left"/>
            </w:pPr>
            <w:r/>
            <w:r>
              <w:rPr>
                <w:rFonts w:ascii="Times New Roman" w:hAnsi="Times New Roman" w:eastAsia="Times New Roman"/>
                <w:b w:val="0"/>
                <w:sz w:val="20"/>
              </w:rPr>
              <w:t>Không sử dụng</w:t>
            </w:r>
          </w:p>
        </w:tc>
        <w:tc>
          <w:tcPr>
            <w:tcW w:type="dxa" w:w="3402"/>
            <w:vAlign w:val="center"/>
          </w:tcPr>
          <w:p>
            <w:pPr>
              <w:jc w:val="left"/>
            </w:pPr>
            <w:r/>
            <w:r>
              <w:rPr>
                <w:rFonts w:ascii="Times New Roman" w:hAnsi="Times New Roman" w:eastAsia="Times New Roman"/>
                <w:b w:val="0"/>
                <w:sz w:val="20"/>
              </w:rPr>
              <w:t>Nguồn chính</w:t>
            </w:r>
          </w:p>
        </w:tc>
      </w:tr>
    </w:tbl>
    <w:p/>
    <w:p>
      <w:pPr>
        <w:jc w:val="center"/>
      </w:pPr>
      <w:r>
        <w:rPr>
          <w:rFonts w:ascii="Cambria Math" w:hAnsi="Cambria Math" w:eastAsia="Cambria Math"/>
          <w:sz w:val="24"/>
        </w:rPr>
        <w:t>Dữ liệu trong vùng = A + B_sau</w:t>
      </w:r>
    </w:p>
    <w:p>
      <w:pPr>
        <w:jc w:val="center"/>
      </w:pPr>
      <w:r>
        <w:rPr>
          <w:rFonts w:ascii="Cambria Math" w:hAnsi="Cambria Math" w:eastAsia="Cambria Math"/>
          <w:sz w:val="24"/>
        </w:rPr>
        <w:t>Dữ liệu ngoài vùng = C + B_trước</w:t>
      </w:r>
    </w:p>
    <w:p>
      <w:r>
        <w:t>Tuy nhiên, để hai chu trình có độ sạch cao nhất, nên dùng A làm lõi cho chu trình trong vùng và C làm lõi cho chu trình ngoài vùng. Nhóm B trước hết dùng để kiểm định, so sánh trước–sau và phân tích tác động của quá trình mở rộng chính sách.</w:t>
      </w:r>
    </w:p>
    <w:p>
      <w:r>
        <w:br w:type="page"/>
      </w:r>
    </w:p>
    <w:p>
      <w:pPr>
        <w:pStyle w:val="Heading1"/>
      </w:pPr>
      <w:r>
        <w:t>6. Những thuận lợi khoa học thu được</w:t>
      </w:r>
    </w:p>
    <w:p>
      <w:pPr>
        <w:pStyle w:val="Heading2"/>
      </w:pPr>
      <w:r>
        <w:t>6.1. Giảm sai lệch do ranh giới chính sách thay đổi</w:t>
      </w:r>
    </w:p>
    <w:p>
      <w:r>
        <w:t>Thiết kế ba nhóm không buộc nghiên cứu phải coi một tuyến là “trong” hoặc “ngoài” vùng cố định suốt 4 năm. Dữ liệu luôn được phân loại theo ngày đo và phiên bản chính sách, nhờ đó tránh trộn các trạng thái khác nhau.</w:t>
      </w:r>
    </w:p>
    <w:p>
      <w:pPr>
        <w:pStyle w:val="Heading2"/>
      </w:pPr>
      <w:r>
        <w:t>6.2. Có thể thực hiện so sánh trước – sau trên cùng tuyến</w:t>
      </w:r>
    </w:p>
    <w:p>
      <w:r>
        <w:t>Nhóm B tạo điều kiện đo cùng một hành lang trước và sau khi vùng phát thải thấp mở rộng. Điều này làm giảm ảnh hưởng của khác biệt hình học tuyến, cấp đường và vị trí không gian.</w:t>
      </w:r>
    </w:p>
    <w:p>
      <w:pPr>
        <w:pStyle w:val="Heading2"/>
      </w:pPr>
      <w:r>
        <w:t>6.3. Có nhóm đối chứng dài hạn</w:t>
      </w:r>
    </w:p>
    <w:p>
      <w:r>
        <w:t>Nhóm C nằm ngoài Vành đai 3 giúp tạo đường cơ sở tương đối ổn định. Khi cả thành phố có biến động chung về giao thông, nhiên liệu, thời tiết hoặc cơ cấu xe, nhóm C giúp nhận biết phần thay đổi không nhất thiết do vùng phát thải thấp.</w:t>
      </w:r>
    </w:p>
    <w:p>
      <w:pPr>
        <w:pStyle w:val="Heading2"/>
      </w:pPr>
      <w:r>
        <w:t>6.4. Tăng khả năng giải thích nguyên nhân</w:t>
      </w:r>
    </w:p>
    <w:p>
      <w:r>
        <w:t>Nếu chỉ so sánh Vành đai 1 với một khu ngoại vi, khác biệt có thể do loại đường. Với A–B–C, có thể so sánh đồng thời theo không gian, theo thời gian và theo cấp đường, từ đó giảm nguy cơ quy mọi khác biệt cho chính sách.</w:t>
      </w:r>
    </w:p>
    <w:p>
      <w:pPr>
        <w:pStyle w:val="Heading2"/>
      </w:pPr>
      <w:r>
        <w:t>6.5. Tạo dữ liệu theo chuỗi thời gian</w:t>
      </w:r>
    </w:p>
    <w:p>
      <w:r>
        <w:t>Mỗi tuyến có thể được đo lặp qua nhiều năm. Nhờ vậy luận án không chỉ tạo một ảnh chụp tại một thời điểm mà có thể xây dựng chuỗi thay đổi đặc trưng vận hành xe máy.</w:t>
      </w:r>
    </w:p>
    <w:p>
      <w:pPr>
        <w:pStyle w:val="Heading2"/>
      </w:pPr>
      <w:r>
        <w:t>6.6. Tăng giá trị cho quy hoạch</w:t>
      </w:r>
    </w:p>
    <w:p>
      <w:r>
        <w:t>Bộ dữ liệu có thể được dùng để đánh giá các hành lang chuẩn bị chuyển trạng thái, hỗ trợ dự báo khi vùng phát thải thấp mở rộng và giúp lựa chọn vị trí ưu tiên cho giám sát, giao thông công cộng hoặc hạ tầng phương tiện sạch.</w:t>
      </w:r>
    </w:p>
    <w:p>
      <w:pPr>
        <w:pStyle w:val="Heading1"/>
      </w:pPr>
      <w:r>
        <w:t>7. Những thuận lợi về dữ liệu và tổ chức khảo sát</w:t>
      </w:r>
    </w:p>
    <w:tbl>
      <w:tblPr>
        <w:tblStyle w:val="TableGrid"/>
        <w:tblW w:type="auto" w:w="0"/>
        <w:jc w:val="center"/>
        <w:tblLook w:firstColumn="1" w:firstRow="1" w:lastColumn="0" w:lastRow="0" w:noHBand="0" w:noVBand="1" w:val="04A0"/>
      </w:tblPr>
      <w:tblGrid>
        <w:gridCol w:w="4929"/>
        <w:gridCol w:w="4929"/>
      </w:tblGrid>
      <w:tr>
        <w:tc>
          <w:tcPr>
            <w:tcW w:type="dxa" w:w="2381"/>
            <w:vAlign w:val="center"/>
            <w:shd w:fill="D9EAF7"/>
          </w:tcPr>
          <w:p>
            <w:pPr>
              <w:jc w:val="center"/>
            </w:pPr>
            <w:r/>
            <w:r>
              <w:rPr>
                <w:rFonts w:ascii="Times New Roman" w:hAnsi="Times New Roman" w:eastAsia="Times New Roman"/>
                <w:b/>
                <w:sz w:val="21"/>
              </w:rPr>
              <w:t>Thuận lợi</w:t>
            </w:r>
          </w:p>
        </w:tc>
        <w:tc>
          <w:tcPr>
            <w:tcW w:type="dxa" w:w="7257"/>
            <w:vAlign w:val="center"/>
            <w:shd w:fill="D9EAF7"/>
          </w:tcPr>
          <w:p>
            <w:pPr>
              <w:jc w:val="center"/>
            </w:pPr>
            <w:r/>
            <w:r>
              <w:rPr>
                <w:rFonts w:ascii="Times New Roman" w:hAnsi="Times New Roman" w:eastAsia="Times New Roman"/>
                <w:b/>
                <w:sz w:val="21"/>
              </w:rPr>
              <w:t>Biểu hiện cụ thể</w:t>
            </w:r>
          </w:p>
        </w:tc>
      </w:tr>
      <w:tr>
        <w:tc>
          <w:tcPr>
            <w:tcW w:type="dxa" w:w="2381"/>
            <w:vAlign w:val="center"/>
          </w:tcPr>
          <w:p>
            <w:pPr>
              <w:jc w:val="left"/>
            </w:pPr>
            <w:r/>
            <w:r>
              <w:rPr>
                <w:rFonts w:ascii="Times New Roman" w:hAnsi="Times New Roman" w:eastAsia="Times New Roman"/>
                <w:b w:val="0"/>
                <w:sz w:val="20"/>
              </w:rPr>
              <w:t>Cấu trúc dữ liệu rõ</w:t>
            </w:r>
          </w:p>
        </w:tc>
        <w:tc>
          <w:tcPr>
            <w:tcW w:type="dxa" w:w="7257"/>
            <w:vAlign w:val="center"/>
          </w:tcPr>
          <w:p>
            <w:pPr>
              <w:jc w:val="left"/>
            </w:pPr>
            <w:r/>
            <w:r>
              <w:rPr>
                <w:rFonts w:ascii="Times New Roman" w:hAnsi="Times New Roman" w:eastAsia="Times New Roman"/>
                <w:b w:val="0"/>
                <w:sz w:val="20"/>
              </w:rPr>
              <w:t>Mỗi chuyến có mã tuyến, ngày đo, nhóm A/B/C, trạng thái vùng, phiên bản chính sách.</w:t>
            </w:r>
          </w:p>
        </w:tc>
      </w:tr>
      <w:tr>
        <w:tc>
          <w:tcPr>
            <w:tcW w:type="dxa" w:w="2381"/>
            <w:vAlign w:val="center"/>
          </w:tcPr>
          <w:p>
            <w:pPr>
              <w:jc w:val="left"/>
            </w:pPr>
            <w:r/>
            <w:r>
              <w:rPr>
                <w:rFonts w:ascii="Times New Roman" w:hAnsi="Times New Roman" w:eastAsia="Times New Roman"/>
                <w:b w:val="0"/>
                <w:sz w:val="20"/>
              </w:rPr>
              <w:t>Giảm công đoạn bóc tách lại</w:t>
            </w:r>
          </w:p>
        </w:tc>
        <w:tc>
          <w:tcPr>
            <w:tcW w:type="dxa" w:w="7257"/>
            <w:vAlign w:val="center"/>
          </w:tcPr>
          <w:p>
            <w:pPr>
              <w:jc w:val="left"/>
            </w:pPr>
            <w:r/>
            <w:r>
              <w:rPr>
                <w:rFonts w:ascii="Times New Roman" w:hAnsi="Times New Roman" w:eastAsia="Times New Roman"/>
                <w:b w:val="0"/>
                <w:sz w:val="20"/>
              </w:rPr>
              <w:t>Tuyến A và C tương đối ổn định; nhóm B được gắn trạng thái ngay khi thu thập.</w:t>
            </w:r>
          </w:p>
        </w:tc>
      </w:tr>
      <w:tr>
        <w:tc>
          <w:tcPr>
            <w:tcW w:type="dxa" w:w="2381"/>
            <w:vAlign w:val="center"/>
          </w:tcPr>
          <w:p>
            <w:pPr>
              <w:jc w:val="left"/>
            </w:pPr>
            <w:r/>
            <w:r>
              <w:rPr>
                <w:rFonts w:ascii="Times New Roman" w:hAnsi="Times New Roman" w:eastAsia="Times New Roman"/>
                <w:b w:val="0"/>
                <w:sz w:val="20"/>
              </w:rPr>
              <w:t>Dễ kiểm soát chất lượng</w:t>
            </w:r>
          </w:p>
        </w:tc>
        <w:tc>
          <w:tcPr>
            <w:tcW w:type="dxa" w:w="7257"/>
            <w:vAlign w:val="center"/>
          </w:tcPr>
          <w:p>
            <w:pPr>
              <w:jc w:val="left"/>
            </w:pPr>
            <w:r/>
            <w:r>
              <w:rPr>
                <w:rFonts w:ascii="Times New Roman" w:hAnsi="Times New Roman" w:eastAsia="Times New Roman"/>
                <w:b w:val="0"/>
                <w:sz w:val="20"/>
              </w:rPr>
              <w:t>Có thể so sánh lặp lại cùng tuyến theo năm và phát hiện thay đổi bất thường.</w:t>
            </w:r>
          </w:p>
        </w:tc>
      </w:tr>
      <w:tr>
        <w:tc>
          <w:tcPr>
            <w:tcW w:type="dxa" w:w="2381"/>
            <w:vAlign w:val="center"/>
          </w:tcPr>
          <w:p>
            <w:pPr>
              <w:jc w:val="left"/>
            </w:pPr>
            <w:r/>
            <w:r>
              <w:rPr>
                <w:rFonts w:ascii="Times New Roman" w:hAnsi="Times New Roman" w:eastAsia="Times New Roman"/>
                <w:b w:val="0"/>
                <w:sz w:val="20"/>
              </w:rPr>
              <w:t>Tái sử dụng tuyến</w:t>
            </w:r>
          </w:p>
        </w:tc>
        <w:tc>
          <w:tcPr>
            <w:tcW w:type="dxa" w:w="7257"/>
            <w:vAlign w:val="center"/>
          </w:tcPr>
          <w:p>
            <w:pPr>
              <w:jc w:val="left"/>
            </w:pPr>
            <w:r/>
            <w:r>
              <w:rPr>
                <w:rFonts w:ascii="Times New Roman" w:hAnsi="Times New Roman" w:eastAsia="Times New Roman"/>
                <w:b w:val="0"/>
                <w:sz w:val="20"/>
              </w:rPr>
              <w:t>Không cần thiết kế lại hoàn toàn mạng tuyến mỗi khi ranh giới chính sách mở rộng.</w:t>
            </w:r>
          </w:p>
        </w:tc>
      </w:tr>
      <w:tr>
        <w:tc>
          <w:tcPr>
            <w:tcW w:type="dxa" w:w="2381"/>
            <w:vAlign w:val="center"/>
          </w:tcPr>
          <w:p>
            <w:pPr>
              <w:jc w:val="left"/>
            </w:pPr>
            <w:r/>
            <w:r>
              <w:rPr>
                <w:rFonts w:ascii="Times New Roman" w:hAnsi="Times New Roman" w:eastAsia="Times New Roman"/>
                <w:b w:val="0"/>
                <w:sz w:val="20"/>
              </w:rPr>
              <w:t>Tối ưu nguồn lực</w:t>
            </w:r>
          </w:p>
        </w:tc>
        <w:tc>
          <w:tcPr>
            <w:tcW w:type="dxa" w:w="7257"/>
            <w:vAlign w:val="center"/>
          </w:tcPr>
          <w:p>
            <w:pPr>
              <w:jc w:val="left"/>
            </w:pPr>
            <w:r/>
            <w:r>
              <w:rPr>
                <w:rFonts w:ascii="Times New Roman" w:hAnsi="Times New Roman" w:eastAsia="Times New Roman"/>
                <w:b w:val="0"/>
                <w:sz w:val="20"/>
              </w:rPr>
              <w:t>Nhóm A và C đo định kỳ; nhóm B tăng tần suất đo vào các thời điểm trước và sau thay đổi chính sách.</w:t>
            </w:r>
          </w:p>
        </w:tc>
      </w:tr>
      <w:tr>
        <w:tc>
          <w:tcPr>
            <w:tcW w:type="dxa" w:w="2381"/>
            <w:vAlign w:val="center"/>
          </w:tcPr>
          <w:p>
            <w:pPr>
              <w:jc w:val="left"/>
            </w:pPr>
            <w:r/>
            <w:r>
              <w:rPr>
                <w:rFonts w:ascii="Times New Roman" w:hAnsi="Times New Roman" w:eastAsia="Times New Roman"/>
                <w:b w:val="0"/>
                <w:sz w:val="20"/>
              </w:rPr>
              <w:t>Thuận lợi cho công bố khoa học</w:t>
            </w:r>
          </w:p>
        </w:tc>
        <w:tc>
          <w:tcPr>
            <w:tcW w:type="dxa" w:w="7257"/>
            <w:vAlign w:val="center"/>
          </w:tcPr>
          <w:p>
            <w:pPr>
              <w:jc w:val="left"/>
            </w:pPr>
            <w:r/>
            <w:r>
              <w:rPr>
                <w:rFonts w:ascii="Times New Roman" w:hAnsi="Times New Roman" w:eastAsia="Times New Roman"/>
                <w:b w:val="0"/>
                <w:sz w:val="20"/>
              </w:rPr>
              <w:t>Có thể tách thành nghiên cứu chu trình lái, nghiên cứu trước–sau, nghiên cứu đối chứng và nghiên cứu quy hoạch.</w:t>
            </w:r>
          </w:p>
        </w:tc>
      </w:tr>
    </w:tbl>
    <w:p/>
    <w:p>
      <w:pPr>
        <w:pStyle w:val="Heading1"/>
      </w:pPr>
      <w:r>
        <w:t>8. Khung phân tích khoa học có thể thu được</w:t>
      </w:r>
    </w:p>
    <w:p>
      <w:r>
        <w:t>Thiết kế A–B–C cho phép đồng thời ba lớp phân tích:</w:t>
      </w:r>
    </w:p>
    <w:p>
      <w:pPr>
        <w:pStyle w:val="ListNumber"/>
      </w:pPr>
      <w:r>
        <w:rPr>
          <w:rFonts w:ascii="Times New Roman" w:hAnsi="Times New Roman" w:eastAsia="Times New Roman"/>
          <w:sz w:val="24"/>
        </w:rPr>
        <w:t>So sánh không gian: A so với C để mô tả khác biệt giữa lõi vùng phát thải thấp và khu vực đối chứng ngoài Vành đai 3.</w:t>
      </w:r>
    </w:p>
    <w:p>
      <w:pPr>
        <w:pStyle w:val="ListNumber"/>
      </w:pPr>
      <w:r>
        <w:rPr>
          <w:rFonts w:ascii="Times New Roman" w:hAnsi="Times New Roman" w:eastAsia="Times New Roman"/>
          <w:sz w:val="24"/>
        </w:rPr>
        <w:t>So sánh trước–sau: cùng tuyến nhóm B ở thời điểm chưa thuộc vùng và sau khi thuộc vùng.</w:t>
      </w:r>
    </w:p>
    <w:p>
      <w:pPr>
        <w:pStyle w:val="ListNumber"/>
      </w:pPr>
      <w:r>
        <w:rPr>
          <w:rFonts w:ascii="Times New Roman" w:hAnsi="Times New Roman" w:eastAsia="Times New Roman"/>
          <w:sz w:val="24"/>
        </w:rPr>
        <w:t>So sánh đối chứng theo thời gian: so biến đổi của A/B với xu thế của C để nhận biết phần thay đổi chung toàn đô thị.</w:t>
      </w:r>
    </w:p>
    <w:p>
      <w:pPr>
        <w:jc w:val="center"/>
      </w:pPr>
      <w:r>
        <w:rPr>
          <w:rFonts w:ascii="Cambria Math" w:hAnsi="Cambria Math" w:eastAsia="Cambria Math"/>
          <w:sz w:val="24"/>
        </w:rPr>
        <w:t>ΔA = Chỉ tiêu_A,sau − Chỉ tiêu_A,trước</w:t>
      </w:r>
    </w:p>
    <w:p>
      <w:pPr>
        <w:jc w:val="center"/>
      </w:pPr>
      <w:r>
        <w:rPr>
          <w:rFonts w:ascii="Cambria Math" w:hAnsi="Cambria Math" w:eastAsia="Cambria Math"/>
          <w:sz w:val="24"/>
        </w:rPr>
        <w:t>ΔC = Chỉ tiêu_C,sau − Chỉ tiêu_C,trước</w:t>
      </w:r>
    </w:p>
    <w:p>
      <w:pPr>
        <w:jc w:val="center"/>
      </w:pPr>
      <w:r>
        <w:rPr>
          <w:rFonts w:ascii="Cambria Math" w:hAnsi="Cambria Math" w:eastAsia="Cambria Math"/>
          <w:sz w:val="24"/>
        </w:rPr>
        <w:t>Hiệu ứng so sánh = ΔA − ΔC</w:t>
      </w:r>
    </w:p>
    <w:p>
      <w:r>
        <w:t>Biểu thức trên là khung phân tích chênh lệch biến đổi giữa nhóm tác động và nhóm đối chứng. Việc suy luận quan hệ nhân quả vẫn cần kiểm soát các yếu tố như loại đường, thời tiết, thời điểm trong ngày, thành phần dòng xe, công trình giao thông và thay đổi tổ chức đường.</w:t>
      </w:r>
    </w:p>
    <w:p>
      <w:r>
        <w:br w:type="page"/>
      </w:r>
    </w:p>
    <w:p>
      <w:pPr>
        <w:pStyle w:val="Heading1"/>
      </w:pPr>
      <w:r>
        <w:t>9. Các rủi ro phương pháp và cách kiểm soát</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7"/>
          </w:tcPr>
          <w:p>
            <w:pPr>
              <w:jc w:val="center"/>
            </w:pPr>
            <w:r/>
            <w:r>
              <w:rPr>
                <w:rFonts w:ascii="Times New Roman" w:hAnsi="Times New Roman" w:eastAsia="Times New Roman"/>
                <w:b/>
                <w:sz w:val="21"/>
              </w:rPr>
              <w:t>Rủi ro</w:t>
            </w:r>
          </w:p>
        </w:tc>
        <w:tc>
          <w:tcPr>
            <w:tcW w:type="dxa" w:w="2835"/>
            <w:vAlign w:val="center"/>
            <w:shd w:fill="D9EAF7"/>
          </w:tcPr>
          <w:p>
            <w:pPr>
              <w:jc w:val="center"/>
            </w:pPr>
            <w:r/>
            <w:r>
              <w:rPr>
                <w:rFonts w:ascii="Times New Roman" w:hAnsi="Times New Roman" w:eastAsia="Times New Roman"/>
                <w:b/>
                <w:sz w:val="21"/>
              </w:rPr>
              <w:t>Hậu quả</w:t>
            </w:r>
          </w:p>
        </w:tc>
        <w:tc>
          <w:tcPr>
            <w:tcW w:type="dxa" w:w="4535"/>
            <w:vAlign w:val="center"/>
            <w:shd w:fill="D9EAF7"/>
          </w:tcPr>
          <w:p>
            <w:pPr>
              <w:jc w:val="center"/>
            </w:pPr>
            <w:r/>
            <w:r>
              <w:rPr>
                <w:rFonts w:ascii="Times New Roman" w:hAnsi="Times New Roman" w:eastAsia="Times New Roman"/>
                <w:b/>
                <w:sz w:val="21"/>
              </w:rPr>
              <w:t>Biện pháp kiểm soát</w:t>
            </w:r>
          </w:p>
        </w:tc>
      </w:tr>
      <w:tr>
        <w:tc>
          <w:tcPr>
            <w:tcW w:type="dxa" w:w="2268"/>
            <w:vAlign w:val="center"/>
          </w:tcPr>
          <w:p>
            <w:pPr>
              <w:jc w:val="left"/>
            </w:pPr>
            <w:r/>
            <w:r>
              <w:rPr>
                <w:rFonts w:ascii="Times New Roman" w:hAnsi="Times New Roman" w:eastAsia="Times New Roman"/>
                <w:b w:val="0"/>
                <w:sz w:val="20"/>
              </w:rPr>
              <w:t>Ranh giới chính sách thay đổi</w:t>
            </w:r>
          </w:p>
        </w:tc>
        <w:tc>
          <w:tcPr>
            <w:tcW w:type="dxa" w:w="2835"/>
            <w:vAlign w:val="center"/>
          </w:tcPr>
          <w:p>
            <w:pPr>
              <w:jc w:val="left"/>
            </w:pPr>
            <w:r/>
            <w:r>
              <w:rPr>
                <w:rFonts w:ascii="Times New Roman" w:hAnsi="Times New Roman" w:eastAsia="Times New Roman"/>
                <w:b w:val="0"/>
                <w:sz w:val="20"/>
              </w:rPr>
              <w:t>Tuyến bị gán sai trạng thái</w:t>
            </w:r>
          </w:p>
        </w:tc>
        <w:tc>
          <w:tcPr>
            <w:tcW w:type="dxa" w:w="4535"/>
            <w:vAlign w:val="center"/>
          </w:tcPr>
          <w:p>
            <w:pPr>
              <w:jc w:val="left"/>
            </w:pPr>
            <w:r/>
            <w:r>
              <w:rPr>
                <w:rFonts w:ascii="Times New Roman" w:hAnsi="Times New Roman" w:eastAsia="Times New Roman"/>
                <w:b w:val="0"/>
                <w:sz w:val="20"/>
              </w:rPr>
              <w:t>Lưu ngày đo và phiên bản ranh giới; phân loại theo thời điểm.</w:t>
            </w:r>
          </w:p>
        </w:tc>
      </w:tr>
      <w:tr>
        <w:tc>
          <w:tcPr>
            <w:tcW w:type="dxa" w:w="2268"/>
            <w:vAlign w:val="center"/>
          </w:tcPr>
          <w:p>
            <w:pPr>
              <w:jc w:val="left"/>
            </w:pPr>
            <w:r/>
            <w:r>
              <w:rPr>
                <w:rFonts w:ascii="Times New Roman" w:hAnsi="Times New Roman" w:eastAsia="Times New Roman"/>
                <w:b w:val="0"/>
                <w:sz w:val="20"/>
              </w:rPr>
              <w:t>Nhóm A và C khác nhau quá nhiều về loại đường</w:t>
            </w:r>
          </w:p>
        </w:tc>
        <w:tc>
          <w:tcPr>
            <w:tcW w:type="dxa" w:w="2835"/>
            <w:vAlign w:val="center"/>
          </w:tcPr>
          <w:p>
            <w:pPr>
              <w:jc w:val="left"/>
            </w:pPr>
            <w:r/>
            <w:r>
              <w:rPr>
                <w:rFonts w:ascii="Times New Roman" w:hAnsi="Times New Roman" w:eastAsia="Times New Roman"/>
                <w:b w:val="0"/>
                <w:sz w:val="20"/>
              </w:rPr>
              <w:t>Nhầm hiệu ứng không gian với hiệu ứng loại đường</w:t>
            </w:r>
          </w:p>
        </w:tc>
        <w:tc>
          <w:tcPr>
            <w:tcW w:type="dxa" w:w="4535"/>
            <w:vAlign w:val="center"/>
          </w:tcPr>
          <w:p>
            <w:pPr>
              <w:jc w:val="left"/>
            </w:pPr>
            <w:r/>
            <w:r>
              <w:rPr>
                <w:rFonts w:ascii="Times New Roman" w:hAnsi="Times New Roman" w:eastAsia="Times New Roman"/>
                <w:b w:val="0"/>
                <w:sz w:val="20"/>
              </w:rPr>
              <w:t>Ghép cặp theo RC, số làn, mật độ nút/tín hiệu; phân tích phân tầng.</w:t>
            </w:r>
          </w:p>
        </w:tc>
      </w:tr>
      <w:tr>
        <w:tc>
          <w:tcPr>
            <w:tcW w:type="dxa" w:w="2268"/>
            <w:vAlign w:val="center"/>
          </w:tcPr>
          <w:p>
            <w:pPr>
              <w:jc w:val="left"/>
            </w:pPr>
            <w:r/>
            <w:r>
              <w:rPr>
                <w:rFonts w:ascii="Times New Roman" w:hAnsi="Times New Roman" w:eastAsia="Times New Roman"/>
                <w:b w:val="0"/>
                <w:sz w:val="20"/>
              </w:rPr>
              <w:t>Nhóm B có thay đổi hạ tầng cùng lúc</w:t>
            </w:r>
          </w:p>
        </w:tc>
        <w:tc>
          <w:tcPr>
            <w:tcW w:type="dxa" w:w="2835"/>
            <w:vAlign w:val="center"/>
          </w:tcPr>
          <w:p>
            <w:pPr>
              <w:jc w:val="left"/>
            </w:pPr>
            <w:r/>
            <w:r>
              <w:rPr>
                <w:rFonts w:ascii="Times New Roman" w:hAnsi="Times New Roman" w:eastAsia="Times New Roman"/>
                <w:b w:val="0"/>
                <w:sz w:val="20"/>
              </w:rPr>
              <w:t>Khó tách ảnh hưởng chính sách</w:t>
            </w:r>
          </w:p>
        </w:tc>
        <w:tc>
          <w:tcPr>
            <w:tcW w:type="dxa" w:w="4535"/>
            <w:vAlign w:val="center"/>
          </w:tcPr>
          <w:p>
            <w:pPr>
              <w:jc w:val="left"/>
            </w:pPr>
            <w:r/>
            <w:r>
              <w:rPr>
                <w:rFonts w:ascii="Times New Roman" w:hAnsi="Times New Roman" w:eastAsia="Times New Roman"/>
                <w:b w:val="0"/>
                <w:sz w:val="20"/>
              </w:rPr>
              <w:t>Lưu biến công trình, thay đổi làn, tổ chức giao thông, mở đường mới.</w:t>
            </w:r>
          </w:p>
        </w:tc>
      </w:tr>
      <w:tr>
        <w:tc>
          <w:tcPr>
            <w:tcW w:type="dxa" w:w="2268"/>
            <w:vAlign w:val="center"/>
          </w:tcPr>
          <w:p>
            <w:pPr>
              <w:jc w:val="left"/>
            </w:pPr>
            <w:r/>
            <w:r>
              <w:rPr>
                <w:rFonts w:ascii="Times New Roman" w:hAnsi="Times New Roman" w:eastAsia="Times New Roman"/>
                <w:b w:val="0"/>
                <w:sz w:val="20"/>
              </w:rPr>
              <w:t>Số chuyến lặp không cân bằng</w:t>
            </w:r>
          </w:p>
        </w:tc>
        <w:tc>
          <w:tcPr>
            <w:tcW w:type="dxa" w:w="2835"/>
            <w:vAlign w:val="center"/>
          </w:tcPr>
          <w:p>
            <w:pPr>
              <w:jc w:val="left"/>
            </w:pPr>
            <w:r/>
            <w:r>
              <w:rPr>
                <w:rFonts w:ascii="Times New Roman" w:hAnsi="Times New Roman" w:eastAsia="Times New Roman"/>
                <w:b w:val="0"/>
                <w:sz w:val="20"/>
              </w:rPr>
              <w:t>Độ tin cậy hai bộ dữ liệu khác nhau</w:t>
            </w:r>
          </w:p>
        </w:tc>
        <w:tc>
          <w:tcPr>
            <w:tcW w:type="dxa" w:w="4535"/>
            <w:vAlign w:val="center"/>
          </w:tcPr>
          <w:p>
            <w:pPr>
              <w:jc w:val="left"/>
            </w:pPr>
            <w:r/>
            <w:r>
              <w:rPr>
                <w:rFonts w:ascii="Times New Roman" w:hAnsi="Times New Roman" w:eastAsia="Times New Roman"/>
                <w:b w:val="0"/>
                <w:sz w:val="20"/>
              </w:rPr>
              <w:t>Quản lý theo số giờ/chuyến hợp lệ và kiểm tra hội tụ.</w:t>
            </w:r>
          </w:p>
        </w:tc>
      </w:tr>
      <w:tr>
        <w:tc>
          <w:tcPr>
            <w:tcW w:type="dxa" w:w="2268"/>
            <w:vAlign w:val="center"/>
          </w:tcPr>
          <w:p>
            <w:pPr>
              <w:jc w:val="left"/>
            </w:pPr>
            <w:r/>
            <w:r>
              <w:rPr>
                <w:rFonts w:ascii="Times New Roman" w:hAnsi="Times New Roman" w:eastAsia="Times New Roman"/>
                <w:b w:val="0"/>
                <w:sz w:val="20"/>
              </w:rPr>
              <w:t>Dùng tuyến vượt ranh</w:t>
            </w:r>
          </w:p>
        </w:tc>
        <w:tc>
          <w:tcPr>
            <w:tcW w:type="dxa" w:w="2835"/>
            <w:vAlign w:val="center"/>
          </w:tcPr>
          <w:p>
            <w:pPr>
              <w:jc w:val="left"/>
            </w:pPr>
            <w:r/>
            <w:r>
              <w:rPr>
                <w:rFonts w:ascii="Times New Roman" w:hAnsi="Times New Roman" w:eastAsia="Times New Roman"/>
                <w:b w:val="0"/>
                <w:sz w:val="20"/>
              </w:rPr>
              <w:t>Dữ liệu trong/ngoài bị pha trộn</w:t>
            </w:r>
          </w:p>
        </w:tc>
        <w:tc>
          <w:tcPr>
            <w:tcW w:type="dxa" w:w="4535"/>
            <w:vAlign w:val="center"/>
          </w:tcPr>
          <w:p>
            <w:pPr>
              <w:jc w:val="left"/>
            </w:pPr>
            <w:r/>
            <w:r>
              <w:rPr>
                <w:rFonts w:ascii="Times New Roman" w:hAnsi="Times New Roman" w:eastAsia="Times New Roman"/>
                <w:b w:val="0"/>
                <w:sz w:val="20"/>
              </w:rPr>
              <w:t>Khóa hình học bằng QGIS và gắn trạng thái không gian theo toàn bộ tuyến.</w:t>
            </w:r>
          </w:p>
        </w:tc>
      </w:tr>
      <w:tr>
        <w:tc>
          <w:tcPr>
            <w:tcW w:type="dxa" w:w="2268"/>
            <w:vAlign w:val="center"/>
          </w:tcPr>
          <w:p>
            <w:pPr>
              <w:jc w:val="left"/>
            </w:pPr>
            <w:r/>
            <w:r>
              <w:rPr>
                <w:rFonts w:ascii="Times New Roman" w:hAnsi="Times New Roman" w:eastAsia="Times New Roman"/>
                <w:b w:val="0"/>
                <w:sz w:val="20"/>
              </w:rPr>
              <w:t>Thay xe/người lái/thiết bị</w:t>
            </w:r>
          </w:p>
        </w:tc>
        <w:tc>
          <w:tcPr>
            <w:tcW w:type="dxa" w:w="2835"/>
            <w:vAlign w:val="center"/>
          </w:tcPr>
          <w:p>
            <w:pPr>
              <w:jc w:val="left"/>
            </w:pPr>
            <w:r/>
            <w:r>
              <w:rPr>
                <w:rFonts w:ascii="Times New Roman" w:hAnsi="Times New Roman" w:eastAsia="Times New Roman"/>
                <w:b w:val="0"/>
                <w:sz w:val="20"/>
              </w:rPr>
              <w:t>Tăng biến thiên không liên quan chính sách</w:t>
            </w:r>
          </w:p>
        </w:tc>
        <w:tc>
          <w:tcPr>
            <w:tcW w:type="dxa" w:w="4535"/>
            <w:vAlign w:val="center"/>
          </w:tcPr>
          <w:p>
            <w:pPr>
              <w:jc w:val="left"/>
            </w:pPr>
            <w:r/>
            <w:r>
              <w:rPr>
                <w:rFonts w:ascii="Times New Roman" w:hAnsi="Times New Roman" w:eastAsia="Times New Roman"/>
                <w:b w:val="0"/>
                <w:sz w:val="20"/>
              </w:rPr>
              <w:t>Ưu tiên cùng xe, cùng người lái chính, cùng thiết bị và cùng quy trình đo.</w:t>
            </w:r>
          </w:p>
        </w:tc>
      </w:tr>
    </w:tbl>
    <w:p/>
    <w:p>
      <w:pPr>
        <w:pStyle w:val="Heading1"/>
      </w:pPr>
      <w:r>
        <w:t>10. Đề xuất kế hoạch đo theo giai đoạn</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701"/>
            <w:vAlign w:val="center"/>
            <w:shd w:fill="D9EAF7"/>
          </w:tcPr>
          <w:p>
            <w:pPr>
              <w:jc w:val="center"/>
            </w:pPr>
            <w:r/>
            <w:r>
              <w:rPr>
                <w:rFonts w:ascii="Times New Roman" w:hAnsi="Times New Roman" w:eastAsia="Times New Roman"/>
                <w:b/>
                <w:sz w:val="21"/>
              </w:rPr>
              <w:t>Giai đoạn</w:t>
            </w:r>
          </w:p>
        </w:tc>
        <w:tc>
          <w:tcPr>
            <w:tcW w:type="dxa" w:w="2268"/>
            <w:vAlign w:val="center"/>
            <w:shd w:fill="D9EAF7"/>
          </w:tcPr>
          <w:p>
            <w:pPr>
              <w:jc w:val="center"/>
            </w:pPr>
            <w:r/>
            <w:r>
              <w:rPr>
                <w:rFonts w:ascii="Times New Roman" w:hAnsi="Times New Roman" w:eastAsia="Times New Roman"/>
                <w:b/>
                <w:sz w:val="21"/>
              </w:rPr>
              <w:t>Nhóm A</w:t>
            </w:r>
          </w:p>
        </w:tc>
        <w:tc>
          <w:tcPr>
            <w:tcW w:type="dxa" w:w="2835"/>
            <w:vAlign w:val="center"/>
            <w:shd w:fill="D9EAF7"/>
          </w:tcPr>
          <w:p>
            <w:pPr>
              <w:jc w:val="center"/>
            </w:pPr>
            <w:r/>
            <w:r>
              <w:rPr>
                <w:rFonts w:ascii="Times New Roman" w:hAnsi="Times New Roman" w:eastAsia="Times New Roman"/>
                <w:b/>
                <w:sz w:val="21"/>
              </w:rPr>
              <w:t>Nhóm B</w:t>
            </w:r>
          </w:p>
        </w:tc>
        <w:tc>
          <w:tcPr>
            <w:tcW w:type="dxa" w:w="2268"/>
            <w:vAlign w:val="center"/>
            <w:shd w:fill="D9EAF7"/>
          </w:tcPr>
          <w:p>
            <w:pPr>
              <w:jc w:val="center"/>
            </w:pPr>
            <w:r/>
            <w:r>
              <w:rPr>
                <w:rFonts w:ascii="Times New Roman" w:hAnsi="Times New Roman" w:eastAsia="Times New Roman"/>
                <w:b/>
                <w:sz w:val="21"/>
              </w:rPr>
              <w:t>Nhóm C</w:t>
            </w:r>
          </w:p>
        </w:tc>
        <w:tc>
          <w:tcPr>
            <w:tcW w:type="dxa" w:w="2551"/>
            <w:vAlign w:val="center"/>
            <w:shd w:fill="D9EAF7"/>
          </w:tcPr>
          <w:p>
            <w:pPr>
              <w:jc w:val="center"/>
            </w:pPr>
            <w:r/>
            <w:r>
              <w:rPr>
                <w:rFonts w:ascii="Times New Roman" w:hAnsi="Times New Roman" w:eastAsia="Times New Roman"/>
                <w:b/>
                <w:sz w:val="21"/>
              </w:rPr>
              <w:t>Mục tiêu</w:t>
            </w:r>
          </w:p>
        </w:tc>
      </w:tr>
      <w:tr>
        <w:tc>
          <w:tcPr>
            <w:tcW w:type="dxa" w:w="1701"/>
            <w:vAlign w:val="center"/>
          </w:tcPr>
          <w:p>
            <w:pPr>
              <w:jc w:val="left"/>
            </w:pPr>
            <w:r/>
            <w:r>
              <w:rPr>
                <w:rFonts w:ascii="Times New Roman" w:hAnsi="Times New Roman" w:eastAsia="Times New Roman"/>
                <w:b w:val="0"/>
                <w:sz w:val="20"/>
              </w:rPr>
              <w:t>2026–2027</w:t>
            </w:r>
          </w:p>
        </w:tc>
        <w:tc>
          <w:tcPr>
            <w:tcW w:type="dxa" w:w="2268"/>
            <w:vAlign w:val="center"/>
          </w:tcPr>
          <w:p>
            <w:pPr>
              <w:jc w:val="left"/>
            </w:pPr>
            <w:r/>
            <w:r>
              <w:rPr>
                <w:rFonts w:ascii="Times New Roman" w:hAnsi="Times New Roman" w:eastAsia="Times New Roman"/>
                <w:b w:val="0"/>
                <w:sz w:val="20"/>
              </w:rPr>
              <w:t>Đo nền và đo trong vùng triển khai sớm</w:t>
            </w:r>
          </w:p>
        </w:tc>
        <w:tc>
          <w:tcPr>
            <w:tcW w:type="dxa" w:w="2835"/>
            <w:vAlign w:val="center"/>
          </w:tcPr>
          <w:p>
            <w:pPr>
              <w:jc w:val="left"/>
            </w:pPr>
            <w:r/>
            <w:r>
              <w:rPr>
                <w:rFonts w:ascii="Times New Roman" w:hAnsi="Times New Roman" w:eastAsia="Times New Roman"/>
                <w:b w:val="0"/>
                <w:sz w:val="20"/>
              </w:rPr>
              <w:t>Đo trước khi mở rộng</w:t>
            </w:r>
          </w:p>
        </w:tc>
        <w:tc>
          <w:tcPr>
            <w:tcW w:type="dxa" w:w="2268"/>
            <w:vAlign w:val="center"/>
          </w:tcPr>
          <w:p>
            <w:pPr>
              <w:jc w:val="left"/>
            </w:pPr>
            <w:r/>
            <w:r>
              <w:rPr>
                <w:rFonts w:ascii="Times New Roman" w:hAnsi="Times New Roman" w:eastAsia="Times New Roman"/>
                <w:b w:val="0"/>
                <w:sz w:val="20"/>
              </w:rPr>
              <w:t>Đo đối chứng</w:t>
            </w:r>
          </w:p>
        </w:tc>
        <w:tc>
          <w:tcPr>
            <w:tcW w:type="dxa" w:w="2551"/>
            <w:vAlign w:val="center"/>
          </w:tcPr>
          <w:p>
            <w:pPr>
              <w:jc w:val="left"/>
            </w:pPr>
            <w:r/>
            <w:r>
              <w:rPr>
                <w:rFonts w:ascii="Times New Roman" w:hAnsi="Times New Roman" w:eastAsia="Times New Roman"/>
                <w:b w:val="0"/>
                <w:sz w:val="20"/>
              </w:rPr>
              <w:t>Thiết lập cơ sở ban đầu và chu trình sơ bộ.</w:t>
            </w:r>
          </w:p>
        </w:tc>
      </w:tr>
      <w:tr>
        <w:tc>
          <w:tcPr>
            <w:tcW w:type="dxa" w:w="1701"/>
            <w:vAlign w:val="center"/>
          </w:tcPr>
          <w:p>
            <w:pPr>
              <w:jc w:val="left"/>
            </w:pPr>
            <w:r/>
            <w:r>
              <w:rPr>
                <w:rFonts w:ascii="Times New Roman" w:hAnsi="Times New Roman" w:eastAsia="Times New Roman"/>
                <w:b w:val="0"/>
                <w:sz w:val="20"/>
              </w:rPr>
              <w:t>2028–2029</w:t>
            </w:r>
          </w:p>
        </w:tc>
        <w:tc>
          <w:tcPr>
            <w:tcW w:type="dxa" w:w="2268"/>
            <w:vAlign w:val="center"/>
          </w:tcPr>
          <w:p>
            <w:pPr>
              <w:jc w:val="left"/>
            </w:pPr>
            <w:r/>
            <w:r>
              <w:rPr>
                <w:rFonts w:ascii="Times New Roman" w:hAnsi="Times New Roman" w:eastAsia="Times New Roman"/>
                <w:b w:val="0"/>
                <w:sz w:val="20"/>
              </w:rPr>
              <w:t>Đo lặp</w:t>
            </w:r>
          </w:p>
        </w:tc>
        <w:tc>
          <w:tcPr>
            <w:tcW w:type="dxa" w:w="2835"/>
            <w:vAlign w:val="center"/>
          </w:tcPr>
          <w:p>
            <w:pPr>
              <w:jc w:val="left"/>
            </w:pPr>
            <w:r/>
            <w:r>
              <w:rPr>
                <w:rFonts w:ascii="Times New Roman" w:hAnsi="Times New Roman" w:eastAsia="Times New Roman"/>
                <w:b w:val="0"/>
                <w:sz w:val="20"/>
              </w:rPr>
              <w:t>Đo trước/sau tại các tuyến chuyển trạng thái</w:t>
            </w:r>
          </w:p>
        </w:tc>
        <w:tc>
          <w:tcPr>
            <w:tcW w:type="dxa" w:w="2268"/>
            <w:vAlign w:val="center"/>
          </w:tcPr>
          <w:p>
            <w:pPr>
              <w:jc w:val="left"/>
            </w:pPr>
            <w:r/>
            <w:r>
              <w:rPr>
                <w:rFonts w:ascii="Times New Roman" w:hAnsi="Times New Roman" w:eastAsia="Times New Roman"/>
                <w:b w:val="0"/>
                <w:sz w:val="20"/>
              </w:rPr>
              <w:t>Đo lặp đối chứng</w:t>
            </w:r>
          </w:p>
        </w:tc>
        <w:tc>
          <w:tcPr>
            <w:tcW w:type="dxa" w:w="2551"/>
            <w:vAlign w:val="center"/>
          </w:tcPr>
          <w:p>
            <w:pPr>
              <w:jc w:val="left"/>
            </w:pPr>
            <w:r/>
            <w:r>
              <w:rPr>
                <w:rFonts w:ascii="Times New Roman" w:hAnsi="Times New Roman" w:eastAsia="Times New Roman"/>
                <w:b w:val="0"/>
                <w:sz w:val="20"/>
              </w:rPr>
              <w:t>Đánh giá thay đổi và cập nhật chu trình.</w:t>
            </w:r>
          </w:p>
        </w:tc>
      </w:tr>
      <w:tr>
        <w:tc>
          <w:tcPr>
            <w:tcW w:type="dxa" w:w="1701"/>
            <w:vAlign w:val="center"/>
          </w:tcPr>
          <w:p>
            <w:pPr>
              <w:jc w:val="left"/>
            </w:pPr>
            <w:r/>
            <w:r>
              <w:rPr>
                <w:rFonts w:ascii="Times New Roman" w:hAnsi="Times New Roman" w:eastAsia="Times New Roman"/>
                <w:b w:val="0"/>
                <w:sz w:val="20"/>
              </w:rPr>
              <w:t>Từ 01/01/2030</w:t>
            </w:r>
          </w:p>
        </w:tc>
        <w:tc>
          <w:tcPr>
            <w:tcW w:type="dxa" w:w="2268"/>
            <w:vAlign w:val="center"/>
          </w:tcPr>
          <w:p>
            <w:pPr>
              <w:jc w:val="left"/>
            </w:pPr>
            <w:r/>
            <w:r>
              <w:rPr>
                <w:rFonts w:ascii="Times New Roman" w:hAnsi="Times New Roman" w:eastAsia="Times New Roman"/>
                <w:b w:val="0"/>
                <w:sz w:val="20"/>
              </w:rPr>
              <w:t>Đo kiểm định</w:t>
            </w:r>
          </w:p>
        </w:tc>
        <w:tc>
          <w:tcPr>
            <w:tcW w:type="dxa" w:w="2835"/>
            <w:vAlign w:val="center"/>
          </w:tcPr>
          <w:p>
            <w:pPr>
              <w:jc w:val="left"/>
            </w:pPr>
            <w:r/>
            <w:r>
              <w:rPr>
                <w:rFonts w:ascii="Times New Roman" w:hAnsi="Times New Roman" w:eastAsia="Times New Roman"/>
                <w:b w:val="0"/>
                <w:sz w:val="20"/>
              </w:rPr>
              <w:t>Phân loại lại theo ranh Vành đai 3</w:t>
            </w:r>
          </w:p>
        </w:tc>
        <w:tc>
          <w:tcPr>
            <w:tcW w:type="dxa" w:w="2268"/>
            <w:vAlign w:val="center"/>
          </w:tcPr>
          <w:p>
            <w:pPr>
              <w:jc w:val="left"/>
            </w:pPr>
            <w:r/>
            <w:r>
              <w:rPr>
                <w:rFonts w:ascii="Times New Roman" w:hAnsi="Times New Roman" w:eastAsia="Times New Roman"/>
                <w:b w:val="0"/>
                <w:sz w:val="20"/>
              </w:rPr>
              <w:t>Tiếp tục đối chứng ngoài Vành đai 3</w:t>
            </w:r>
          </w:p>
        </w:tc>
        <w:tc>
          <w:tcPr>
            <w:tcW w:type="dxa" w:w="2551"/>
            <w:vAlign w:val="center"/>
          </w:tcPr>
          <w:p>
            <w:pPr>
              <w:jc w:val="left"/>
            </w:pPr>
            <w:r/>
            <w:r>
              <w:rPr>
                <w:rFonts w:ascii="Times New Roman" w:hAnsi="Times New Roman" w:eastAsia="Times New Roman"/>
                <w:b w:val="0"/>
                <w:sz w:val="20"/>
              </w:rPr>
              <w:t>Hoàn thiện hai chu trình và phân tích tổng hợp.</w:t>
            </w:r>
          </w:p>
        </w:tc>
      </w:tr>
    </w:tbl>
    <w:p/>
    <w:p>
      <w:pPr>
        <w:pStyle w:val="Heading1"/>
      </w:pPr>
      <w:r>
        <w:t>11. Sản phẩm dự kiến thu được từ thiết kế A – B – C</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pPr>
              <w:jc w:val="center"/>
            </w:pPr>
            <w:r/>
            <w:r>
              <w:rPr>
                <w:rFonts w:ascii="Times New Roman" w:hAnsi="Times New Roman" w:eastAsia="Times New Roman"/>
                <w:b/>
                <w:sz w:val="21"/>
              </w:rPr>
              <w:t>Sản phẩm</w:t>
            </w:r>
          </w:p>
        </w:tc>
        <w:tc>
          <w:tcPr>
            <w:tcW w:type="dxa" w:w="6803"/>
            <w:vAlign w:val="center"/>
            <w:shd w:fill="D9EAF7"/>
          </w:tcPr>
          <w:p>
            <w:pPr>
              <w:jc w:val="center"/>
            </w:pPr>
            <w:r/>
            <w:r>
              <w:rPr>
                <w:rFonts w:ascii="Times New Roman" w:hAnsi="Times New Roman" w:eastAsia="Times New Roman"/>
                <w:b/>
                <w:sz w:val="21"/>
              </w:rPr>
              <w:t>Nội dung</w:t>
            </w:r>
          </w:p>
        </w:tc>
      </w:tr>
      <w:tr>
        <w:tc>
          <w:tcPr>
            <w:tcW w:type="dxa" w:w="2835"/>
            <w:vAlign w:val="center"/>
          </w:tcPr>
          <w:p>
            <w:pPr>
              <w:jc w:val="left"/>
            </w:pPr>
            <w:r/>
            <w:r>
              <w:rPr>
                <w:rFonts w:ascii="Times New Roman" w:hAnsi="Times New Roman" w:eastAsia="Times New Roman"/>
                <w:b w:val="0"/>
                <w:sz w:val="20"/>
              </w:rPr>
              <w:t>Cơ sở dữ liệu A</w:t>
            </w:r>
          </w:p>
        </w:tc>
        <w:tc>
          <w:tcPr>
            <w:tcW w:type="dxa" w:w="6803"/>
            <w:vAlign w:val="center"/>
          </w:tcPr>
          <w:p>
            <w:pPr>
              <w:jc w:val="left"/>
            </w:pPr>
            <w:r/>
            <w:r>
              <w:rPr>
                <w:rFonts w:ascii="Times New Roman" w:hAnsi="Times New Roman" w:eastAsia="Times New Roman"/>
                <w:b w:val="0"/>
                <w:sz w:val="20"/>
              </w:rPr>
              <w:t>Chuỗi dữ liệu vận hành xe máy trong vùng triển khai sớm, có tính lặp theo năm.</w:t>
            </w:r>
          </w:p>
        </w:tc>
      </w:tr>
      <w:tr>
        <w:tc>
          <w:tcPr>
            <w:tcW w:type="dxa" w:w="2835"/>
            <w:vAlign w:val="center"/>
          </w:tcPr>
          <w:p>
            <w:pPr>
              <w:jc w:val="left"/>
            </w:pPr>
            <w:r/>
            <w:r>
              <w:rPr>
                <w:rFonts w:ascii="Times New Roman" w:hAnsi="Times New Roman" w:eastAsia="Times New Roman"/>
                <w:b w:val="0"/>
                <w:sz w:val="20"/>
              </w:rPr>
              <w:t>Cơ sở dữ liệu B</w:t>
            </w:r>
          </w:p>
        </w:tc>
        <w:tc>
          <w:tcPr>
            <w:tcW w:type="dxa" w:w="6803"/>
            <w:vAlign w:val="center"/>
          </w:tcPr>
          <w:p>
            <w:pPr>
              <w:jc w:val="left"/>
            </w:pPr>
            <w:r/>
            <w:r>
              <w:rPr>
                <w:rFonts w:ascii="Times New Roman" w:hAnsi="Times New Roman" w:eastAsia="Times New Roman"/>
                <w:b w:val="0"/>
                <w:sz w:val="20"/>
              </w:rPr>
              <w:t>Dữ liệu cùng hành lang ở hai trạng thái trước và sau khi chính sách mở rộng.</w:t>
            </w:r>
          </w:p>
        </w:tc>
      </w:tr>
      <w:tr>
        <w:tc>
          <w:tcPr>
            <w:tcW w:type="dxa" w:w="2835"/>
            <w:vAlign w:val="center"/>
          </w:tcPr>
          <w:p>
            <w:pPr>
              <w:jc w:val="left"/>
            </w:pPr>
            <w:r/>
            <w:r>
              <w:rPr>
                <w:rFonts w:ascii="Times New Roman" w:hAnsi="Times New Roman" w:eastAsia="Times New Roman"/>
                <w:b w:val="0"/>
                <w:sz w:val="20"/>
              </w:rPr>
              <w:t>Cơ sở dữ liệu C</w:t>
            </w:r>
          </w:p>
        </w:tc>
        <w:tc>
          <w:tcPr>
            <w:tcW w:type="dxa" w:w="6803"/>
            <w:vAlign w:val="center"/>
          </w:tcPr>
          <w:p>
            <w:pPr>
              <w:jc w:val="left"/>
            </w:pPr>
            <w:r/>
            <w:r>
              <w:rPr>
                <w:rFonts w:ascii="Times New Roman" w:hAnsi="Times New Roman" w:eastAsia="Times New Roman"/>
                <w:b w:val="0"/>
                <w:sz w:val="20"/>
              </w:rPr>
              <w:t>Dữ liệu đối chứng ngoài Vành đai 3, dùng làm đường cơ sở dài hạn.</w:t>
            </w:r>
          </w:p>
        </w:tc>
      </w:tr>
      <w:tr>
        <w:tc>
          <w:tcPr>
            <w:tcW w:type="dxa" w:w="2835"/>
            <w:vAlign w:val="center"/>
          </w:tcPr>
          <w:p>
            <w:pPr>
              <w:jc w:val="left"/>
            </w:pPr>
            <w:r/>
            <w:r>
              <w:rPr>
                <w:rFonts w:ascii="Times New Roman" w:hAnsi="Times New Roman" w:eastAsia="Times New Roman"/>
                <w:b w:val="0"/>
                <w:sz w:val="20"/>
              </w:rPr>
              <w:t>Chu trình lái trong vùng</w:t>
            </w:r>
          </w:p>
        </w:tc>
        <w:tc>
          <w:tcPr>
            <w:tcW w:type="dxa" w:w="6803"/>
            <w:vAlign w:val="center"/>
          </w:tcPr>
          <w:p>
            <w:pPr>
              <w:jc w:val="left"/>
            </w:pPr>
            <w:r/>
            <w:r>
              <w:rPr>
                <w:rFonts w:ascii="Times New Roman" w:hAnsi="Times New Roman" w:eastAsia="Times New Roman"/>
                <w:b w:val="0"/>
                <w:sz w:val="20"/>
              </w:rPr>
              <w:t>Xây dựng chủ yếu từ A; B sau chuyển trạng thái dùng bổ sung và kiểm định.</w:t>
            </w:r>
          </w:p>
        </w:tc>
      </w:tr>
      <w:tr>
        <w:tc>
          <w:tcPr>
            <w:tcW w:type="dxa" w:w="2835"/>
            <w:vAlign w:val="center"/>
          </w:tcPr>
          <w:p>
            <w:pPr>
              <w:jc w:val="left"/>
            </w:pPr>
            <w:r/>
            <w:r>
              <w:rPr>
                <w:rFonts w:ascii="Times New Roman" w:hAnsi="Times New Roman" w:eastAsia="Times New Roman"/>
                <w:b w:val="0"/>
                <w:sz w:val="20"/>
              </w:rPr>
              <w:t>Chu trình lái ngoài vùng</w:t>
            </w:r>
          </w:p>
        </w:tc>
        <w:tc>
          <w:tcPr>
            <w:tcW w:type="dxa" w:w="6803"/>
            <w:vAlign w:val="center"/>
          </w:tcPr>
          <w:p>
            <w:pPr>
              <w:jc w:val="left"/>
            </w:pPr>
            <w:r/>
            <w:r>
              <w:rPr>
                <w:rFonts w:ascii="Times New Roman" w:hAnsi="Times New Roman" w:eastAsia="Times New Roman"/>
                <w:b w:val="0"/>
                <w:sz w:val="20"/>
              </w:rPr>
              <w:t>Xây dựng chủ yếu từ C; B trước chuyển trạng thái dùng bổ sung và kiểm định.</w:t>
            </w:r>
          </w:p>
        </w:tc>
      </w:tr>
      <w:tr>
        <w:tc>
          <w:tcPr>
            <w:tcW w:type="dxa" w:w="2835"/>
            <w:vAlign w:val="center"/>
          </w:tcPr>
          <w:p>
            <w:pPr>
              <w:jc w:val="left"/>
            </w:pPr>
            <w:r/>
            <w:r>
              <w:rPr>
                <w:rFonts w:ascii="Times New Roman" w:hAnsi="Times New Roman" w:eastAsia="Times New Roman"/>
                <w:b w:val="0"/>
                <w:sz w:val="20"/>
              </w:rPr>
              <w:t>Bộ chỉ tiêu so sánh</w:t>
            </w:r>
          </w:p>
        </w:tc>
        <w:tc>
          <w:tcPr>
            <w:tcW w:type="dxa" w:w="6803"/>
            <w:vAlign w:val="center"/>
          </w:tcPr>
          <w:p>
            <w:pPr>
              <w:jc w:val="left"/>
            </w:pPr>
            <w:r/>
            <w:r>
              <w:rPr>
                <w:rFonts w:ascii="Times New Roman" w:hAnsi="Times New Roman" w:eastAsia="Times New Roman"/>
                <w:b w:val="0"/>
                <w:sz w:val="20"/>
              </w:rPr>
              <w:t>Tốc độ, tăng/giảm tốc, tỷ lệ dừng, chạy đều, số lần dừng/km, VSP, nhiên liệu và phát thải nếu đo.</w:t>
            </w:r>
          </w:p>
        </w:tc>
      </w:tr>
      <w:tr>
        <w:tc>
          <w:tcPr>
            <w:tcW w:type="dxa" w:w="2835"/>
            <w:vAlign w:val="center"/>
          </w:tcPr>
          <w:p>
            <w:pPr>
              <w:jc w:val="left"/>
            </w:pPr>
            <w:r/>
            <w:r>
              <w:rPr>
                <w:rFonts w:ascii="Times New Roman" w:hAnsi="Times New Roman" w:eastAsia="Times New Roman"/>
                <w:b w:val="0"/>
                <w:sz w:val="20"/>
              </w:rPr>
              <w:t>Bộ dữ liệu quy hoạch</w:t>
            </w:r>
          </w:p>
        </w:tc>
        <w:tc>
          <w:tcPr>
            <w:tcW w:type="dxa" w:w="6803"/>
            <w:vAlign w:val="center"/>
          </w:tcPr>
          <w:p>
            <w:pPr>
              <w:jc w:val="left"/>
            </w:pPr>
            <w:r/>
            <w:r>
              <w:rPr>
                <w:rFonts w:ascii="Times New Roman" w:hAnsi="Times New Roman" w:eastAsia="Times New Roman"/>
                <w:b w:val="0"/>
                <w:sz w:val="20"/>
              </w:rPr>
              <w:t>Phân tích hành lang chuyển tiếp và hỗ trợ đánh giá mở rộng vùng phát thải thấp.</w:t>
            </w:r>
          </w:p>
        </w:tc>
      </w:tr>
    </w:tbl>
    <w:p/>
    <w:p>
      <w:pPr>
        <w:pStyle w:val="Heading1"/>
      </w:pPr>
      <w:r>
        <w:t>12. Kết luận và khuyến nghị chốt thiết kế</w:t>
      </w:r>
    </w:p>
    <w:p>
      <w:r>
        <w:t>Đối với luận án nghiên cứu trong giai đoạn 2026–2030, thiết kế ba nhóm A–B–C phù hợp hơn thiết kế hai nhóm cố định. Nhóm A đại diện khu vực triển khai sớm; nhóm B khai thác chính quá trình mở rộng chính sách như một chuỗi quan sát trước–sau; nhóm C tạo đối chứng ngoài Vành đai 3.</w:t>
      </w:r>
    </w:p>
    <w:p>
      <w:pPr>
        <w:jc w:val="center"/>
      </w:pPr>
      <w:r>
        <w:rPr>
          <w:rFonts w:ascii="Cambria Math" w:hAnsi="Cambria Math" w:eastAsia="Cambria Math"/>
          <w:sz w:val="24"/>
        </w:rPr>
        <w:t>A = lõi vùng phát thải thấp</w:t>
      </w:r>
    </w:p>
    <w:p>
      <w:pPr>
        <w:jc w:val="center"/>
      </w:pPr>
      <w:r>
        <w:rPr>
          <w:rFonts w:ascii="Cambria Math" w:hAnsi="Cambria Math" w:eastAsia="Cambria Math"/>
          <w:sz w:val="24"/>
        </w:rPr>
        <w:t>B = vùng chuyển tiếp chính sách</w:t>
      </w:r>
    </w:p>
    <w:p>
      <w:pPr>
        <w:jc w:val="center"/>
      </w:pPr>
      <w:r>
        <w:rPr>
          <w:rFonts w:ascii="Cambria Math" w:hAnsi="Cambria Math" w:eastAsia="Cambria Math"/>
          <w:sz w:val="24"/>
        </w:rPr>
        <w:t>C = đối chứng ngoài Vành đai 3</w:t>
      </w:r>
    </w:p>
    <w:p>
      <w:r>
        <w:t>Ưu điểm lớn nhất của thiết kế này là vừa cho phép xây hai chu trình lái độc lập, vừa tận dụng được lộ trình mở rộng vùng phát thải thấp 2026–2030 để tăng giá trị khoa học của luận án. Đặc biệt, nhóm B giúp giảm nhược điểm của so sánh thuần túy theo không gian vì có thể quan sát cùng một hành lang ở hai trạng thái chính sách khác nhau.</w:t>
      </w:r>
    </w:p>
    <w:p>
      <w:pPr>
        <w:pStyle w:val="Heading1"/>
      </w:pPr>
      <w:r>
        <w:t>Tài liệu tham khảo</w:t>
      </w:r>
    </w:p>
    <w:p>
      <w:pPr>
        <w:spacing w:after="60"/>
      </w:pPr>
      <w:r>
        <w:t>[1] Hội đồng nhân dân thành phố Hà Nội. Nghị quyết số 57/2025/NQ-HĐND ngày 26/11/2025 về quy định thực hiện vùng phát thải thấp trên địa bàn thành phố Hà Nội; lộ trình thực hiện 2026–2030. Thông tin công bố trên cổng thông tin điện tử Hà Nội.</w:t>
      </w:r>
    </w:p>
    <w:p>
      <w:pPr>
        <w:spacing w:after="60"/>
      </w:pPr>
      <w:r>
        <w:t>[2] Ủy ban nhân dân thành phố Hà Nội. Công văn số 34/UBND-NNMT ngày 05/01/2026 về triển khai thực hiện Nghị quyết số 57/2025/NQ-HĐND.</w:t>
      </w:r>
    </w:p>
    <w:p>
      <w:pPr>
        <w:spacing w:after="60"/>
      </w:pPr>
      <w:r>
        <w:t>[3] Thành phố Hà Nội. Hồ sơ/Đề án vùng phát thải thấp trong Vành đai 1, năm 2026.</w:t>
      </w:r>
    </w:p>
    <w:sectPr w:rsidR="00FC693F" w:rsidRPr="0006063C" w:rsidSect="00034616">
      <w:footerReference w:type="default" r:id="rId9"/>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Phân tích ba nhóm A–B–C phục vụ nghiên cứu vùng phát thải thấp Hà Nội 2026–2030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