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jc w:val="center"/>
        <w:rPr>
          <w:rFonts w:ascii="Times New Roman" w:hAnsi="Times New Roman" w:eastAsia="Times New Roman" w:cs="Times New Roman"/>
          <w:b/>
          <w:bCs/>
          <w:sz w:val="26"/>
          <w:szCs w:val="26"/>
        </w:rPr>
      </w:pPr>
      <w:r>
        <w:rPr>
          <w:rtl w:val="0"/>
        </w:rPr>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-296861</wp:posOffset>
                </wp:positionH>
                <wp:positionV relativeFrom="paragraph">
                  <wp:posOffset>-709611</wp:posOffset>
                </wp:positionV>
                <wp:extent cx="3025775" cy="948519"/>
                <wp:effectExtent l="0" t="0" r="0" b="0"/>
                <wp:wrapNone/>
                <wp:docPr id="1" name=""/>
                <wp:cNvGraphicFramePr/>
                <a:graphic xmlns:a="http://schemas.openxmlformats.org/drawingml/2006/main">
                  <a:graphicData uri="http://schemas.microsoft.com/office/word/2010/wordprocessingShape">
                    <wps:wsp>
                      <wps:cNvPr id="2" name="Shape 2"/>
                      <wps:cNvSpPr/>
                      <wps:spPr bwMode="auto">
                        <a:xfrm>
                          <a:off x="3837875" y="3335500"/>
                          <a:ext cx="3016250" cy="889000"/>
                        </a:xfrm>
                        <a:prstGeom prst="rect">
                          <a:avLst/>
                        </a:prstGeom>
                        <a:solidFill>
                          <a:schemeClr val="lt1"/>
                        </a:solidFill>
                        <a:ln w="9525" cap="flat" cmpd="sng">
                          <a:solidFill>
                            <a:srgbClr val="000000"/>
                          </a:solidFill>
                          <a:prstDash val="solid"/>
                          <a:round/>
                          <a:headEnd type="none" w="sm" len="sm"/>
                          <a:tailEnd type="none" w="sm" len="sm"/>
                        </a:ln>
                      </wps:spPr>
                      <wps:txbx>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4"/>
                                <w:vertAlign w:val="baseline"/>
                              </w:rPr>
                              <w:t xml:space="preserve">Lớp: 420300319856</w:t>
                            </w:r>
                            <w:r/>
                          </w:p>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Nhóm:</w:t>
                            </w:r>
                            <w:r>
                              <w:rPr>
                                <w:rFonts w:ascii="Times New Roman" w:hAnsi="Times New Roman" w:eastAsia="Times New Roman" w:cs="Times New Roman"/>
                                <w:b w:val="0"/>
                                <w:i w:val="0"/>
                                <w:smallCaps w:val="0"/>
                                <w:strike w:val="0"/>
                                <w:color w:val="000000"/>
                                <w:sz w:val="24"/>
                                <w:vertAlign w:val="baseline"/>
                              </w:rPr>
                              <w:t xml:space="preserve"> 6</w:t>
                            </w:r>
                            <w:r/>
                          </w:p>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Ngày</w:t>
                            </w:r>
                            <w:r>
                              <w:rPr>
                                <w:rFonts w:ascii="Times New Roman" w:hAnsi="Times New Roman" w:eastAsia="Times New Roman" w:cs="Times New Roman"/>
                                <w:b w:val="0"/>
                                <w:i w:val="0"/>
                                <w:smallCaps w:val="0"/>
                                <w:strike w:val="0"/>
                                <w:color w:val="000000"/>
                                <w:sz w:val="24"/>
                                <w:vertAlign w:val="baseline"/>
                              </w:rPr>
                              <w:t xml:space="preserve">: 16/0</w:t>
                            </w:r>
                            <w:r>
                              <w:rPr>
                                <w:rFonts w:ascii="Times New Roman" w:hAnsi="Times New Roman" w:eastAsia="Times New Roman" w:cs="Times New Roman"/>
                                <w:b w:val="0"/>
                                <w:i w:val="0"/>
                                <w:smallCaps w:val="0"/>
                                <w:strike w:val="0"/>
                                <w:color w:val="000000"/>
                                <w:sz w:val="24"/>
                                <w:vertAlign w:val="baseline"/>
                              </w:rPr>
                              <w:t xml:space="preserve">9/2026</w:t>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0;o:allowoverlap:true;o:allowincell:true;mso-position-horizontal-relative:text;margin-left:-23.37pt;mso-position-horizontal:absolute;mso-position-vertical-relative:text;margin-top:-55.87pt;mso-position-vertical:absolute;width:238.25pt;height:74.69pt;mso-wrap-distance-left:9.00pt;mso-wrap-distance-top:0.00pt;mso-wrap-distance-right:9.00pt;mso-wrap-distance-bottom:0.00pt;v-text-anchor:top;visibility:visible;" fillcolor="#FFFFFF" strokecolor="#000000" strokeweight="0.75pt">
                <v:stroke dashstyle="solid"/>
                <v:textbox inset="0,0,0,0">
                  <w:txbxContent>
                    <w:p>
                      <w:pPr>
                        <w:pBdr/>
                        <w:spacing w:after="160" w:before="0" w:line="258" w:lineRule="auto"/>
                        <w:ind w:right="0" w:firstLine="0" w:left="0"/>
                        <w:jc w:val="left"/>
                        <w:rPr/>
                      </w:pPr>
                      <w:r>
                        <w:rPr>
                          <w:rFonts w:ascii="Times New Roman" w:hAnsi="Times New Roman" w:eastAsia="Times New Roman" w:cs="Times New Roman"/>
                          <w:b/>
                          <w:i w:val="0"/>
                          <w:smallCaps w:val="0"/>
                          <w:strike w:val="0"/>
                          <w:color w:val="000000"/>
                          <w:sz w:val="24"/>
                          <w:vertAlign w:val="baseline"/>
                        </w:rPr>
                        <w:t xml:space="preserve">Lớp: 420300319856</w:t>
                      </w:r>
                      <w:r/>
                    </w:p>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Nhóm:</w:t>
                      </w:r>
                      <w:r>
                        <w:rPr>
                          <w:rFonts w:ascii="Times New Roman" w:hAnsi="Times New Roman" w:eastAsia="Times New Roman" w:cs="Times New Roman"/>
                          <w:b w:val="0"/>
                          <w:i w:val="0"/>
                          <w:smallCaps w:val="0"/>
                          <w:strike w:val="0"/>
                          <w:color w:val="000000"/>
                          <w:sz w:val="24"/>
                          <w:vertAlign w:val="baseline"/>
                        </w:rPr>
                        <w:t xml:space="preserve"> 6</w:t>
                      </w:r>
                      <w:r/>
                    </w:p>
                    <w:p>
                      <w:pPr>
                        <w:pBdr/>
                        <w:spacing w:after="160" w:before="0" w:line="258" w:lineRule="auto"/>
                        <w:ind w:right="0" w:firstLine="0" w:left="0"/>
                        <w:jc w:val="left"/>
                        <w:rPr/>
                      </w:pPr>
                      <w:r>
                        <w:rPr>
                          <w:rFonts w:ascii="Times New Roman" w:hAnsi="Times New Roman" w:eastAsia="Times New Roman" w:cs="Times New Roman"/>
                          <w:b w:val="0"/>
                          <w:i w:val="0"/>
                          <w:smallCaps w:val="0"/>
                          <w:strike w:val="0"/>
                          <w:color w:val="000000"/>
                          <w:sz w:val="24"/>
                          <w:vertAlign w:val="baseline"/>
                        </w:rPr>
                      </w:r>
                      <w:r>
                        <w:rPr>
                          <w:rFonts w:ascii="Times New Roman" w:hAnsi="Times New Roman" w:eastAsia="Times New Roman" w:cs="Times New Roman"/>
                          <w:b/>
                          <w:i w:val="0"/>
                          <w:smallCaps w:val="0"/>
                          <w:strike w:val="0"/>
                          <w:color w:val="000000"/>
                          <w:sz w:val="24"/>
                          <w:vertAlign w:val="baseline"/>
                        </w:rPr>
                        <w:t xml:space="preserve">Ngày</w:t>
                      </w:r>
                      <w:r>
                        <w:rPr>
                          <w:rFonts w:ascii="Times New Roman" w:hAnsi="Times New Roman" w:eastAsia="Times New Roman" w:cs="Times New Roman"/>
                          <w:b w:val="0"/>
                          <w:i w:val="0"/>
                          <w:smallCaps w:val="0"/>
                          <w:strike w:val="0"/>
                          <w:color w:val="000000"/>
                          <w:sz w:val="24"/>
                          <w:vertAlign w:val="baseline"/>
                        </w:rPr>
                        <w:t xml:space="preserve">: 16/0</w:t>
                      </w:r>
                      <w:r>
                        <w:rPr>
                          <w:rFonts w:ascii="Times New Roman" w:hAnsi="Times New Roman" w:eastAsia="Times New Roman" w:cs="Times New Roman"/>
                          <w:b w:val="0"/>
                          <w:i w:val="0"/>
                          <w:smallCaps w:val="0"/>
                          <w:strike w:val="0"/>
                          <w:color w:val="000000"/>
                          <w:sz w:val="24"/>
                          <w:vertAlign w:val="baseline"/>
                        </w:rPr>
                        <w:t xml:space="preserve">9/2026</w:t>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4927600</wp:posOffset>
                </wp:positionH>
                <wp:positionV relativeFrom="paragraph">
                  <wp:posOffset>-641349</wp:posOffset>
                </wp:positionV>
                <wp:extent cx="1543050" cy="1346200"/>
                <wp:effectExtent l="0" t="0" r="0" b="0"/>
                <wp:wrapNone/>
                <wp:docPr id="2" name=""/>
                <wp:cNvGraphicFramePr/>
                <a:graphic xmlns:a="http://schemas.openxmlformats.org/drawingml/2006/main">
                  <a:graphicData uri="http://schemas.microsoft.com/office/word/2010/wordprocessingShape">
                    <wps:wsp>
                      <wps:cNvPr id="3" name="Shape 3"/>
                      <wps:cNvSpPr/>
                      <wps:spPr bwMode="auto">
                        <a:xfrm>
                          <a:off x="4580825" y="3113250"/>
                          <a:ext cx="1530350" cy="1333500"/>
                        </a:xfrm>
                        <a:prstGeom prst="ellipse">
                          <a:avLst/>
                        </a:prstGeom>
                        <a:solidFill>
                          <a:schemeClr val="lt1"/>
                        </a:solidFill>
                        <a:ln w="12700" cap="flat" cmpd="sng">
                          <a:solidFill>
                            <a:schemeClr val="accent6"/>
                          </a:solidFill>
                          <a:prstDash val="solid"/>
                          <a:miter lim="8000"/>
                          <a:headEnd type="none" w="sm" len="sm"/>
                          <a:tailEnd type="none" w="sm" len="sm"/>
                        </a:ln>
                      </wps:spPr>
                      <wps:txbx>
                        <w:txbxContent>
                          <w:p>
                            <w:pPr>
                              <w:pBdr/>
                              <w:spacing w:after="160" w:before="0" w:line="258" w:lineRule="auto"/>
                              <w:ind w:right="0" w:firstLine="0" w:left="0"/>
                              <w:jc w:val="center"/>
                              <w:rPr/>
                            </w:pPr>
                            <w:r>
                              <w:rPr>
                                <w:rFonts w:ascii="Times New Roman" w:hAnsi="Times New Roman" w:eastAsia="Times New Roman" w:cs="Times New Roman"/>
                                <w:b/>
                                <w:i w:val="0"/>
                                <w:smallCaps w:val="0"/>
                                <w:strike w:val="0"/>
                                <w:color w:val="000000"/>
                                <w:sz w:val="28"/>
                                <w:vertAlign w:val="baseline"/>
                              </w:rPr>
                              <w:t xml:space="preserve">Điểm</w:t>
                            </w:r>
                            <w:r/>
                          </w:p>
                        </w:txbxContent>
                      </wps:txbx>
                      <wps:bodyPr spcFirstLastPara="1" wrap="square" lIns="91425" tIns="45700" rIns="91425" bIns="45700" anchor="t" anchorCtr="0">
                        <a:noAutofit/>
                      </wps:bodyPr>
                    </wps:wsp>
                  </a:graphicData>
                </a:graphic>
              </wp:anchor>
            </w:drawing>
          </mc:Choice>
          <mc:Fallback>
            <w:pict>
              <v:shape id="shape 1" o:spid="_x0000_s1" o:spt="3" type="#_x0000_t3" style="position:absolute;z-index:0;o:allowoverlap:true;o:allowincell:true;mso-position-horizontal-relative:text;margin-left:388.00pt;mso-position-horizontal:absolute;mso-position-vertical-relative:text;margin-top:-50.50pt;mso-position-vertical:absolute;width:121.50pt;height:106.00pt;mso-wrap-distance-left:9.00pt;mso-wrap-distance-top:0.00pt;mso-wrap-distance-right:9.00pt;mso-wrap-distance-bottom:0.00pt;v-text-anchor:top;visibility:visible;" fillcolor="#FFFFFF" strokecolor="#70AD47" strokeweight="1.00pt">
                <v:stroke dashstyle="solid"/>
                <v:textbox inset="0,0,0,0">
                  <w:txbxContent>
                    <w:p>
                      <w:pPr>
                        <w:pBdr/>
                        <w:spacing w:after="160" w:before="0" w:line="258" w:lineRule="auto"/>
                        <w:ind w:right="0" w:firstLine="0" w:left="0"/>
                        <w:jc w:val="center"/>
                        <w:rPr/>
                      </w:pPr>
                      <w:r>
                        <w:rPr>
                          <w:rFonts w:ascii="Times New Roman" w:hAnsi="Times New Roman" w:eastAsia="Times New Roman" w:cs="Times New Roman"/>
                          <w:b/>
                          <w:i w:val="0"/>
                          <w:smallCaps w:val="0"/>
                          <w:strike w:val="0"/>
                          <w:color w:val="000000"/>
                          <w:sz w:val="28"/>
                          <w:vertAlign w:val="baseline"/>
                        </w:rPr>
                        <w:t xml:space="preserve">Điểm</w:t>
                      </w:r>
                      <w:r/>
                    </w:p>
                  </w:txbxContent>
                </v:textbox>
              </v:shape>
            </w:pict>
          </mc:Fallback>
        </mc:AlternateContent>
      </w:r>
      <w:r>
        <w:rPr>
          <w:rFonts w:ascii="Times New Roman" w:hAnsi="Times New Roman" w:eastAsia="Times New Roman" w:cs="Times New Roman"/>
          <w:b/>
          <w:bCs/>
          <w:sz w:val="26"/>
          <w:szCs w:val="26"/>
        </w:rPr>
      </w:r>
    </w:p>
    <w:p w14:paraId="00000002">
      <w:pPr>
        <w:pBdr/>
        <w:spacing/>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BÀI TẬP  NHÓM SỐ 1</w:t>
      </w:r>
      <w:r>
        <w:rPr>
          <w:rFonts w:ascii="Times New Roman" w:hAnsi="Times New Roman" w:eastAsia="Times New Roman" w:cs="Times New Roman"/>
          <w:b/>
          <w:bCs/>
          <w:sz w:val="26"/>
          <w:szCs w:val="26"/>
        </w:rPr>
      </w:r>
    </w:p>
    <w:p w14:paraId="00000003">
      <w:pPr>
        <w:pBdr/>
        <w:spacing/>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Đề bài: Viết Tổng quan tài liệu cho đề tài nghiên cứu của nhóm</w:t>
      </w:r>
      <w:r>
        <w:rPr>
          <w:rFonts w:ascii="Times New Roman" w:hAnsi="Times New Roman" w:eastAsia="Times New Roman" w:cs="Times New Roman"/>
          <w:b/>
          <w:bCs/>
          <w:sz w:val="26"/>
          <w:szCs w:val="26"/>
        </w:rPr>
      </w:r>
    </w:p>
    <w:p w14:paraId="00000004">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540" w:left="540"/>
        <w:jc w:val="left"/>
        <w:rPr>
          <w:rFonts w:ascii="Times New Roman" w:hAnsi="Times New Roman" w:eastAsia="Times New Roman" w:cs="Times New Roman"/>
          <w:b/>
          <w:bCs/>
          <w:i w:val="0"/>
          <w:iCs w:val="0"/>
          <w:smallCaps w:val="0"/>
          <w:strike w:val="0"/>
          <w:sz w:val="26"/>
          <w:szCs w:val="26"/>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Vấn đề nghiên cứu (Tên đề tài nghiên cứu): </w:t>
      </w: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(0.5 điểm)</w:t>
      </w:r>
      <w:r>
        <w:rPr>
          <w:rtl w:val="0"/>
        </w:rPr>
      </w:r>
      <w:r>
        <w:rPr>
          <w:rFonts w:ascii="Times New Roman" w:hAnsi="Times New Roman" w:eastAsia="Times New Roman" w:cs="Times New Roman"/>
          <w:b/>
          <w:bCs/>
          <w:i w:val="0"/>
          <w:iCs w:val="0"/>
          <w:smallCaps w:val="0"/>
          <w:strike w:val="0"/>
          <w:sz w:val="26"/>
          <w:szCs w:val="26"/>
          <w:shd w:val="clear" w:color="auto" w:fill="auto"/>
          <w:vertAlign w:val="baseline"/>
        </w:rPr>
      </w:r>
    </w:p>
    <w:p w14:paraId="0000000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sz w:val="26"/>
          <w:szCs w:val="26"/>
          <w:rtl w:val="0"/>
        </w:rPr>
        <w:t xml:space="preserve">Các yếu tố ảnh hưởng đến hiệu quả làm việc nhóm của sinh viên tại trường đại học IUH.</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p w14:paraId="00000006">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540" w:left="540"/>
        <w:jc w:val="left"/>
        <w:rPr>
          <w:rFonts w:ascii="Times New Roman" w:hAnsi="Times New Roman" w:eastAsia="Times New Roman" w:cs="Times New Roman"/>
          <w:b/>
          <w:bCs/>
          <w:i w:val="0"/>
          <w:iCs w:val="0"/>
          <w:smallCaps w:val="0"/>
          <w:strike w:val="0"/>
          <w:sz w:val="26"/>
          <w:szCs w:val="26"/>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Mục tiêu cụ thể của nghiên cứu </w:t>
      </w: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(0.5 điểm)</w:t>
      </w:r>
      <w:r>
        <w:rPr>
          <w:rtl w:val="0"/>
        </w:rPr>
      </w:r>
      <w:r>
        <w:rPr>
          <w:rFonts w:ascii="Times New Roman" w:hAnsi="Times New Roman" w:eastAsia="Times New Roman" w:cs="Times New Roman"/>
          <w:b/>
          <w:bCs/>
          <w:i w:val="0"/>
          <w:iCs w:val="0"/>
          <w:smallCaps w:val="0"/>
          <w:strike w:val="0"/>
          <w:sz w:val="26"/>
          <w:szCs w:val="26"/>
          <w:shd w:val="clear" w:color="auto" w:fill="auto"/>
          <w:vertAlign w:val="baseline"/>
        </w:rPr>
      </w:r>
    </w:p>
    <w:p w14:paraId="00000007">
      <w:pPr>
        <w:numPr>
          <w:ilvl w:val="0"/>
          <w:numId w:val="4"/>
        </w:numPr>
        <w:pBdr/>
        <w:spacing w:after="0" w:line="276"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Xác định </w:t>
      </w:r>
      <w:r>
        <w:rPr>
          <w:rFonts w:ascii="Times New Roman" w:hAnsi="Times New Roman" w:eastAsia="Times New Roman" w:cs="Times New Roman"/>
          <w:sz w:val="26"/>
          <w:szCs w:val="26"/>
          <w:rtl w:val="0"/>
        </w:rPr>
        <w:t xml:space="preserve">các yếu tố (thuộc về cá nhân sinh viên, đặc điểm nội bộ nhóm và môi trường nhà trường) ảnh hưởng đến hiệu quả làm việc nhóm của sinh viên tại trường đại học IUH.</w:t>
      </w:r>
      <w:r>
        <w:rPr>
          <w:rFonts w:ascii="Times New Roman" w:hAnsi="Times New Roman" w:eastAsia="Times New Roman" w:cs="Times New Roman"/>
          <w:sz w:val="26"/>
          <w:szCs w:val="26"/>
        </w:rPr>
      </w:r>
    </w:p>
    <w:p w14:paraId="00000008">
      <w:pPr>
        <w:numPr>
          <w:ilvl w:val="0"/>
          <w:numId w:val="4"/>
        </w:numPr>
        <w:pBdr/>
        <w:spacing w:after="0" w:line="276"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Đánh giá </w:t>
      </w:r>
      <w:r>
        <w:rPr>
          <w:rFonts w:ascii="Times New Roman" w:hAnsi="Times New Roman" w:eastAsia="Times New Roman" w:cs="Times New Roman"/>
          <w:sz w:val="26"/>
          <w:szCs w:val="26"/>
          <w:rtl w:val="0"/>
        </w:rPr>
        <w:t xml:space="preserve">mức độ và chiều hướng ảnh hưởng của các yếu tố này đối với hiệu quả làm việc nhóm thực tế của sinh viên IUH.</w:t>
      </w:r>
      <w:r>
        <w:rPr>
          <w:rFonts w:ascii="Times New Roman" w:hAnsi="Times New Roman" w:eastAsia="Times New Roman" w:cs="Times New Roman"/>
          <w:sz w:val="26"/>
          <w:szCs w:val="26"/>
        </w:rPr>
      </w:r>
    </w:p>
    <w:p w14:paraId="00000009">
      <w:pPr>
        <w:numPr>
          <w:ilvl w:val="0"/>
          <w:numId w:val="4"/>
        </w:numPr>
        <w:pBdr/>
        <w:spacing w:after="0" w:line="276"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Đề xuất </w:t>
      </w:r>
      <w:r>
        <w:rPr>
          <w:rFonts w:ascii="Times New Roman" w:hAnsi="Times New Roman" w:eastAsia="Times New Roman" w:cs="Times New Roman"/>
          <w:sz w:val="26"/>
          <w:szCs w:val="26"/>
          <w:rtl w:val="0"/>
        </w:rPr>
        <w:t xml:space="preserve">một số giải pháp thiết thực mang tính khoa học nhằm nâng cao hiệu quả làm việc nhóm cho sinh viên tại trường đại học IUH.</w:t>
      </w:r>
      <w:r>
        <w:rPr>
          <w:rtl w:val="0"/>
        </w:rPr>
      </w:r>
      <w:r>
        <w:rPr>
          <w:rFonts w:ascii="Times New Roman" w:hAnsi="Times New Roman" w:eastAsia="Times New Roman" w:cs="Times New Roman"/>
          <w:sz w:val="26"/>
          <w:szCs w:val="26"/>
        </w:rPr>
      </w:r>
    </w:p>
    <w:p w14:paraId="0000000A">
      <w:pPr>
        <w:keepNext w:val="false"/>
        <w:keepLines w:val="false"/>
        <w:pageBreakBefore w:val="false"/>
        <w:widowControl w:val="true"/>
        <w:numPr>
          <w:ilvl w:val="0"/>
          <w:numId w:val="5"/>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540" w:left="540"/>
        <w:jc w:val="left"/>
        <w:rPr>
          <w:rFonts w:ascii="Times New Roman" w:hAnsi="Times New Roman" w:eastAsia="Times New Roman" w:cs="Times New Roman"/>
          <w:b w:val="0"/>
          <w:bCs w:val="0"/>
          <w:i w:val="0"/>
          <w:iCs w:val="0"/>
          <w:smallCaps w:val="0"/>
          <w:strike w:val="0"/>
          <w:sz w:val="26"/>
          <w:szCs w:val="26"/>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Dàn bài của phần Tổng quan tài liệu </w:t>
      </w: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(1 điểm)</w:t>
      </w:r>
      <w:r>
        <w:rPr>
          <w:rFonts w:ascii="Times New Roman" w:hAnsi="Times New Roman" w:eastAsia="Times New Roman" w:cs="Times New Roman"/>
          <w:b w:val="0"/>
          <w:bCs w:val="0"/>
          <w:i w:val="0"/>
          <w:iCs w:val="0"/>
          <w:smallCaps w:val="0"/>
          <w:strike w:val="0"/>
          <w:sz w:val="26"/>
          <w:szCs w:val="26"/>
          <w:shd w:val="clear" w:color="auto" w:fill="auto"/>
          <w:vertAlign w:val="baseline"/>
        </w:rPr>
      </w:r>
    </w:p>
    <w:p w14:paraId="0000000B">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40"/>
        <w:jc w:val="left"/>
        <w:rPr>
          <w:rFonts w:ascii="Times New Roman" w:hAnsi="Times New Roman" w:eastAsia="Times New Roman" w:cs="Times New Roman"/>
          <w:i w:val="0"/>
          <w:iCs w:val="0"/>
          <w:smallCaps w:val="0"/>
          <w:strike w:val="0"/>
          <w:sz w:val="26"/>
          <w:szCs w:val="26"/>
          <w:shd w:val="clear" w:color="auto" w:fill="auto"/>
          <w:vertAlign w:val="baseline"/>
        </w:rPr>
      </w:pPr>
      <w:r>
        <w:rPr>
          <w:rFonts w:ascii="Times New Roman" w:hAnsi="Times New Roman" w:eastAsia="Times New Roman" w:cs="Times New Roman"/>
          <w:sz w:val="26"/>
          <w:szCs w:val="26"/>
          <w:rtl w:val="0"/>
        </w:rPr>
        <w:t xml:space="preserve">Các khái niệm nền tảng về nhóm và hiệu quả làm việc nhóm</w:t>
      </w:r>
      <w:r>
        <w:rPr>
          <w:rFonts w:ascii="Times New Roman" w:hAnsi="Times New Roman" w:eastAsia="Times New Roman" w:cs="Times New Roman"/>
          <w:i w:val="0"/>
          <w:iCs w:val="0"/>
          <w:smallCaps w:val="0"/>
          <w:strike w:val="0"/>
          <w:sz w:val="26"/>
          <w:szCs w:val="26"/>
          <w:shd w:val="clear" w:color="auto" w:fill="auto"/>
          <w:vertAlign w:val="baseline"/>
        </w:rPr>
      </w:r>
    </w:p>
    <w:p w14:paraId="0000000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1.1. </w:t>
      </w:r>
      <w:r>
        <w:rPr>
          <w:rFonts w:ascii="Times New Roman" w:hAnsi="Times New Roman" w:eastAsia="Times New Roman" w:cs="Times New Roman"/>
          <w:sz w:val="26"/>
          <w:szCs w:val="26"/>
          <w:rtl w:val="0"/>
        </w:rPr>
        <w:t xml:space="preserve">Khái niệm về nhóm và làm việc nhóm</w:t>
      </w:r>
      <w:r>
        <w:rPr>
          <w:rFonts w:ascii="Times New Roman" w:hAnsi="Times New Roman" w:eastAsia="Times New Roman" w:cs="Times New Roman"/>
          <w:sz w:val="26"/>
          <w:szCs w:val="26"/>
        </w:rPr>
      </w:r>
    </w:p>
    <w:p w14:paraId="0000000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1.2. Khái niệm và các tiêu chí đánh giá hiệu quả làm việc nhóm</w:t>
      </w:r>
      <w:r>
        <w:rPr>
          <w:rFonts w:ascii="Times New Roman" w:hAnsi="Times New Roman" w:eastAsia="Times New Roman" w:cs="Times New Roman"/>
          <w:sz w:val="26"/>
          <w:szCs w:val="26"/>
        </w:rPr>
      </w:r>
    </w:p>
    <w:p w14:paraId="0000000E">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Cơ sở lý thuyết liên quan đến hiệu quả làm việc nhóm</w:t>
      </w:r>
      <w:r>
        <w:rPr>
          <w:rFonts w:ascii="Times New Roman" w:hAnsi="Times New Roman" w:eastAsia="Times New Roman" w:cs="Times New Roman"/>
          <w:sz w:val="26"/>
          <w:szCs w:val="26"/>
        </w:rPr>
      </w:r>
    </w:p>
    <w:p w14:paraId="0000000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2.1. Mô hình Đầu vào - Tiến trình - Đầu ra của McGrath.</w:t>
      </w:r>
      <w:r>
        <w:rPr>
          <w:rtl w:val="0"/>
        </w:rPr>
      </w:r>
      <w:r>
        <w:rPr>
          <w:rFonts w:ascii="Times New Roman" w:hAnsi="Times New Roman" w:eastAsia="Times New Roman" w:cs="Times New Roman"/>
          <w:sz w:val="26"/>
          <w:szCs w:val="26"/>
        </w:rPr>
      </w:r>
    </w:p>
    <w:p w14:paraId="0000001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2.2. Lý thuyết Kiến tạo Xã hội và Học tập Hợp tác.</w:t>
      </w:r>
      <w:r>
        <w:rPr>
          <w:rFonts w:ascii="Times New Roman" w:hAnsi="Times New Roman" w:eastAsia="Times New Roman" w:cs="Times New Roman"/>
          <w:sz w:val="26"/>
          <w:szCs w:val="26"/>
        </w:rPr>
      </w:r>
    </w:p>
    <w:p w14:paraId="00000011">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Các yếu tố ảnh hưởng đến hiệu quả làm việc nhóm của sinh viên</w:t>
      </w:r>
      <w:r>
        <w:rPr>
          <w:rFonts w:ascii="Times New Roman" w:hAnsi="Times New Roman" w:eastAsia="Times New Roman" w:cs="Times New Roman"/>
          <w:sz w:val="26"/>
          <w:szCs w:val="26"/>
        </w:rPr>
      </w:r>
    </w:p>
    <w:p w14:paraId="0000001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3.1. </w:t>
      </w:r>
      <w:r>
        <w:rPr>
          <w:rFonts w:ascii="Times New Roman" w:hAnsi="Times New Roman" w:eastAsia="Times New Roman" w:cs="Times New Roman"/>
          <w:sz w:val="26"/>
          <w:szCs w:val="26"/>
          <w:rtl w:val="0"/>
        </w:rPr>
        <w:t xml:space="preserve">Nhóm nhân tố thuộc về cá nhân (Sự cam kết, tinh thần trách nhiệm, kỹ năng giao tiếp).</w:t>
      </w:r>
      <w:r>
        <w:rPr>
          <w:rFonts w:ascii="Times New Roman" w:hAnsi="Times New Roman" w:eastAsia="Times New Roman" w:cs="Times New Roman"/>
          <w:sz w:val="26"/>
          <w:szCs w:val="26"/>
        </w:rPr>
      </w:r>
    </w:p>
    <w:p w14:paraId="0000001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3.2 Nhóm nhân tố thuộc về nội bộ nhóm (Vai trò của nhóm trưởng, sự gắn kết, sự tương tác, xung đột).</w:t>
      </w:r>
      <w:r>
        <w:rPr>
          <w:rFonts w:ascii="Times New Roman" w:hAnsi="Times New Roman" w:eastAsia="Times New Roman" w:cs="Times New Roman"/>
          <w:sz w:val="26"/>
          <w:szCs w:val="26"/>
        </w:rPr>
      </w:r>
    </w:p>
    <w:p w14:paraId="0000001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3.3 Nhóm nhân tố thuộc về môi trường nhà trường IUH (Sự hỗ trợ của giảng viên, cơ sở vật chất).</w:t>
      </w:r>
      <w:r>
        <w:rPr>
          <w:rFonts w:ascii="Times New Roman" w:hAnsi="Times New Roman" w:eastAsia="Times New Roman" w:cs="Times New Roman"/>
          <w:sz w:val="26"/>
          <w:szCs w:val="26"/>
        </w:rPr>
      </w:r>
    </w:p>
    <w:p w14:paraId="00000015">
      <w:pPr>
        <w:keepNext w:val="false"/>
        <w:keepLines w:val="false"/>
        <w:pageBreakBefore w:val="false"/>
        <w:widowControl w:val="true"/>
        <w:numPr>
          <w:ilvl w:val="0"/>
          <w:numId w:val="3"/>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hanging="360" w:left="144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Tổng hợp các nghiên cứu thực nghiệm liên quan và Khoảng trống nghiên cứu </w:t>
      </w:r>
      <w:r>
        <w:rPr>
          <w:rFonts w:ascii="Times New Roman" w:hAnsi="Times New Roman" w:eastAsia="Times New Roman" w:cs="Times New Roman"/>
          <w:sz w:val="26"/>
          <w:szCs w:val="26"/>
        </w:rPr>
      </w:r>
    </w:p>
    <w:p w14:paraId="0000001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4.1. </w:t>
      </w:r>
      <w:r>
        <w:rPr>
          <w:rFonts w:ascii="Times New Roman" w:hAnsi="Times New Roman" w:eastAsia="Times New Roman" w:cs="Times New Roman"/>
          <w:sz w:val="26"/>
          <w:szCs w:val="26"/>
          <w:rtl w:val="0"/>
        </w:rPr>
        <w:t xml:space="preserve">Tổng hợp kết quả từ các nghiên cứu trước đây về hiệu quả làm việc nhóm.</w:t>
      </w:r>
      <w:r>
        <w:rPr>
          <w:rFonts w:ascii="Times New Roman" w:hAnsi="Times New Roman" w:eastAsia="Times New Roman" w:cs="Times New Roman"/>
          <w:sz w:val="26"/>
          <w:szCs w:val="26"/>
        </w:rPr>
      </w:r>
    </w:p>
    <w:p w14:paraId="000000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720" w:left="72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4.2. Nhận diện khoảng trống nghiên cứu tại bối cảnh trường Đại học Công nghiệp TP.HCM</w:t>
      </w:r>
      <w:r>
        <w:rPr>
          <w:rFonts w:ascii="Times New Roman" w:hAnsi="Times New Roman" w:eastAsia="Times New Roman" w:cs="Times New Roman"/>
          <w:sz w:val="26"/>
          <w:szCs w:val="26"/>
        </w:rPr>
      </w:r>
    </w:p>
    <w:p w14:paraId="0000001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72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BÀI LÀM</w:t>
      </w:r>
      <w:r>
        <w:rPr>
          <w:rFonts w:ascii="Times New Roman" w:hAnsi="Times New Roman" w:eastAsia="Times New Roman" w:cs="Times New Roman"/>
          <w:b/>
          <w:bCs/>
          <w:sz w:val="26"/>
          <w:szCs w:val="26"/>
        </w:rPr>
      </w:r>
    </w:p>
    <w:p w14:paraId="0000001A">
      <w:pPr>
        <w:numPr>
          <w:ilvl w:val="0"/>
          <w:numId w:val="2"/>
        </w:numPr>
        <w:pBdr/>
        <w:spacing w:after="0" w:line="360" w:lineRule="auto"/>
        <w:ind w:hanging="283" w:left="283"/>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Các khái niệm nền tảng về nhóm và hiệu quả làm việc nhóm</w:t>
      </w:r>
      <w:r>
        <w:rPr>
          <w:rFonts w:ascii="Times New Roman" w:hAnsi="Times New Roman" w:eastAsia="Times New Roman" w:cs="Times New Roman"/>
          <w:sz w:val="26"/>
          <w:szCs w:val="26"/>
        </w:rPr>
      </w:r>
    </w:p>
    <w:p w14:paraId="0000001B">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1.1.Khái niệm về nhóm và làm việc nhóm</w:t>
      </w:r>
      <w:r>
        <w:rPr>
          <w:rFonts w:ascii="Times New Roman" w:hAnsi="Times New Roman" w:eastAsia="Times New Roman" w:cs="Times New Roman"/>
          <w:b/>
          <w:bCs/>
          <w:sz w:val="26"/>
          <w:szCs w:val="26"/>
        </w:rPr>
      </w:r>
    </w:p>
    <w:p w14:paraId="0000001C">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tâm lý </w:t>
      </w:r>
      <w:r>
        <w:rPr>
          <w:rFonts w:ascii="Times New Roman" w:hAnsi="Times New Roman" w:eastAsia="Times New Roman" w:cs="Times New Roman"/>
          <w:sz w:val="26"/>
          <w:szCs w:val="26"/>
          <w:rtl w:val="0"/>
        </w:rPr>
        <w:t xml:space="preserve">học xã hội và quản trị giáo dục, "nhóm" được hiểu là tập hợp từ hai người trở lên, cùng làm việc trong một khoảng thời gian nhất định để đạt mục tiêu chung và tuân thủ các chuẩn mực ứng xử chung. Theo góc nhìn đó, làm việc nhóm được định nghĩa là một tiến </w:t>
      </w:r>
      <w:r>
        <w:rPr>
          <w:rFonts w:ascii="Times New Roman" w:hAnsi="Times New Roman" w:eastAsia="Times New Roman" w:cs="Times New Roman"/>
          <w:sz w:val="26"/>
          <w:szCs w:val="26"/>
          <w:rtl w:val="0"/>
        </w:rPr>
        <w:t xml:space="preserve">trình hợp tác giữa hai hoặc nhiều cá nhân sở hữu các kỹ năng bổ trợ lẫn nhau, cùng cam kết chịu trách nhiệm thực hiện mục tiêu chung trên tinh thần phối hợp và phát huy tối đa ưu điểm của từng thành viên. (Trần Hiệp, 1996, trích trong Trần Thị Thùy, 2018).</w:t>
      </w:r>
      <w:r>
        <w:rPr>
          <w:rFonts w:ascii="Times New Roman" w:hAnsi="Times New Roman" w:eastAsia="Times New Roman" w:cs="Times New Roman"/>
          <w:sz w:val="26"/>
          <w:szCs w:val="26"/>
        </w:rPr>
      </w:r>
    </w:p>
    <w:p w14:paraId="0000001D">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Tuy nhiên, trong thực tế các bài tập lớn tại IUH, nhóm sinh viên thường chỉ dừng lại ở mức chia nhỏ công việc để gộp lại (nhóm làm việc thông thường) chứ hiếm khi đạt đến tính cam kết phụ thuộc lẫn nhau của một 'nhóm thực thụ'.</w:t>
      </w:r>
      <w:r>
        <w:rPr>
          <w:rFonts w:ascii="Times New Roman" w:hAnsi="Times New Roman" w:eastAsia="Times New Roman" w:cs="Times New Roman"/>
          <w:sz w:val="26"/>
          <w:szCs w:val="26"/>
        </w:rPr>
      </w:r>
    </w:p>
    <w:p w14:paraId="0000001E">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1.2.</w:t>
      </w:r>
      <w:r>
        <w:rPr>
          <w:rFonts w:ascii="Times New Roman" w:hAnsi="Times New Roman" w:eastAsia="Times New Roman" w:cs="Times New Roman"/>
          <w:b/>
          <w:bCs/>
          <w:sz w:val="26"/>
          <w:szCs w:val="26"/>
          <w:rtl w:val="0"/>
        </w:rPr>
        <w:t xml:space="preserve"> Khái niệm và các tiêu chí đánh giá hiệu quả làm việc nhóm</w:t>
      </w:r>
      <w:r>
        <w:rPr>
          <w:rFonts w:ascii="Times New Roman" w:hAnsi="Times New Roman" w:eastAsia="Times New Roman" w:cs="Times New Roman"/>
          <w:sz w:val="26"/>
          <w:szCs w:val="26"/>
          <w:rtl w:val="0"/>
        </w:rPr>
        <w:t xml:space="preserve"> </w:t>
      </w:r>
      <w:r>
        <w:rPr>
          <w:rFonts w:ascii="Times New Roman" w:hAnsi="Times New Roman" w:eastAsia="Times New Roman" w:cs="Times New Roman"/>
          <w:sz w:val="26"/>
          <w:szCs w:val="26"/>
        </w:rPr>
      </w:r>
    </w:p>
    <w:p w14:paraId="0000001F">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Hiệu quả làm việc nhóm được Hofer và Schendel (1986, trích trong Đặng Thị Tuyết Ngọc và cộng sự, 2025) định nghĩa là</w:t>
      </w:r>
      <w:r>
        <w:rPr>
          <w:rFonts w:ascii="Times New Roman" w:hAnsi="Times New Roman" w:eastAsia="Times New Roman" w:cs="Times New Roman"/>
          <w:sz w:val="26"/>
          <w:szCs w:val="26"/>
          <w:rtl w:val="0"/>
        </w:rPr>
        <w:t xml:space="preserve"> mức độ tương ứng giữa kết quả đầu ra thực tế so với các mục tiêu kỳ vọng ban đầu. Hiệu quả làm việc được đo lường thông qua ba nhóm tiêu chí chính: Thành tích và kết quả đầu ra, mức độ gắn kết và khả năng duy trì nhóm và sự hài lòng và phát triển cá nhân.</w:t>
      </w:r>
      <w:r>
        <w:rPr>
          <w:rFonts w:ascii="Times New Roman" w:hAnsi="Times New Roman" w:eastAsia="Times New Roman" w:cs="Times New Roman"/>
          <w:sz w:val="26"/>
          <w:szCs w:val="26"/>
        </w:rPr>
      </w:r>
    </w:p>
    <w:p w14:paraId="00000020">
      <w:pPr>
        <w:numPr>
          <w:ilvl w:val="0"/>
          <w:numId w:val="2"/>
        </w:numPr>
        <w:pBdr/>
        <w:spacing w:after="0" w:line="360" w:lineRule="auto"/>
        <w:ind w:hanging="360" w:left="425"/>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Cơ sở lý thuyết liên quan đến hiệu quả làm việc nhóm</w:t>
      </w:r>
      <w:r>
        <w:rPr>
          <w:rFonts w:ascii="Times New Roman" w:hAnsi="Times New Roman" w:eastAsia="Times New Roman" w:cs="Times New Roman"/>
          <w:sz w:val="26"/>
          <w:szCs w:val="26"/>
        </w:rPr>
      </w:r>
    </w:p>
    <w:p w14:paraId="00000021">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Nhiều nghiên cứu học thuật thống nhất rằng trong môi trường giáo dục đại học, hiệu quả làm việc nhóm là một khái niệm đa chiều, được cấu thành và đánh giá toàn diện qua ba nhóm tiêu chí cốt lõi (Fransen, 2012; Nguyễn Thị Thắng, 2014).</w:t>
      </w:r>
      <w:r>
        <w:rPr>
          <w:rFonts w:ascii="Times New Roman" w:hAnsi="Times New Roman" w:eastAsia="Times New Roman" w:cs="Times New Roman"/>
          <w:sz w:val="26"/>
          <w:szCs w:val="26"/>
        </w:rPr>
      </w:r>
    </w:p>
    <w:p w14:paraId="00000022">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Cụ thể, xét ở góc độ tiến trình vận hành nội bộ, Caspersz và cộng sự (2003) nhấn mạnh chất lượng tương tác nhóm thông qua việc phân chia khối lượng công việc công bằng. Bên cạnh đó, dưới góc </w:t>
      </w:r>
      <w:r>
        <w:rPr>
          <w:rFonts w:ascii="Times New Roman" w:hAnsi="Times New Roman" w:eastAsia="Times New Roman" w:cs="Times New Roman"/>
          <w:sz w:val="26"/>
          <w:szCs w:val="26"/>
          <w:rtl w:val="0"/>
        </w:rPr>
        <w:t xml:space="preserve">nhìn năng lực hợp tác, Salas và cộng sự (2005, trích trong Đặng Thị Tuyết Ngọc và cộng sự, 2025) tập trung vào khả năng thích ứng, năng suất làm việc và tính sáng tạo tập thể khi xử lý nhiệm vụ. Mặt khác, đóng góp vào khung đánh giá thực nghiệm cho sinh vi</w:t>
      </w:r>
      <w:r>
        <w:rPr>
          <w:rFonts w:ascii="Times New Roman" w:hAnsi="Times New Roman" w:eastAsia="Times New Roman" w:cs="Times New Roman"/>
          <w:sz w:val="26"/>
          <w:szCs w:val="26"/>
          <w:rtl w:val="0"/>
        </w:rPr>
        <w:t xml:space="preserve">ên Việt Nam, Đặng Thị Tuyết Ngọc và cộng sự (2025) mở rộng phân tích sang sự kết hợp giữa kết quả học thuật (chất lượng sản phẩm, điểm số) và chỉ số tâm lý cá nhân, bao gồm mức độ hài lòng của sinh viên cùng sự tiến bộ về kỹ năng mềm sau quá trình hợp tác.</w:t>
      </w:r>
      <w:r>
        <w:rPr>
          <w:rFonts w:ascii="Times New Roman" w:hAnsi="Times New Roman" w:eastAsia="Times New Roman" w:cs="Times New Roman"/>
          <w:sz w:val="26"/>
          <w:szCs w:val="26"/>
        </w:rPr>
      </w:r>
    </w:p>
    <w:p w14:paraId="00000023">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Nhóm nhận thấy sinh viên và giảng viên hiện nay vẫn có xu hướng chỉ nhìn vào điểm số sản phẩm cuối cùng mà bỏ quên hai tiêu chí cốt lõi còn lại là: sự vận hành nội bộ và sự phát triển năng lực của từng cá nhân.</w:t>
      </w:r>
      <w:r>
        <w:rPr>
          <w:rFonts w:ascii="Times New Roman" w:hAnsi="Times New Roman" w:eastAsia="Times New Roman" w:cs="Times New Roman"/>
          <w:sz w:val="26"/>
          <w:szCs w:val="26"/>
        </w:rPr>
      </w:r>
    </w:p>
    <w:p w14:paraId="00000024">
      <w:pPr>
        <w:pBdr/>
        <w:spacing w:after="0" w:line="360" w:lineRule="auto"/>
        <w:ind w:firstLine="0" w:left="0"/>
        <w:rPr>
          <w:rFonts w:ascii="Times New Roman" w:hAnsi="Times New Roman" w:eastAsia="Times New Roman" w:cs="Times New Roman"/>
          <w:b/>
          <w:bCs/>
          <w:i/>
          <w:iCs/>
          <w:sz w:val="26"/>
          <w:szCs w:val="26"/>
        </w:rPr>
      </w:pPr>
      <w:r>
        <w:rPr>
          <w:rFonts w:ascii="Times New Roman" w:hAnsi="Times New Roman" w:eastAsia="Times New Roman" w:cs="Times New Roman"/>
          <w:b/>
          <w:bCs/>
          <w:sz w:val="26"/>
          <w:szCs w:val="26"/>
          <w:rtl w:val="0"/>
        </w:rPr>
        <w:t xml:space="preserve">2.1</w:t>
      </w:r>
      <w:r>
        <w:rPr>
          <w:rFonts w:ascii="Times New Roman" w:hAnsi="Times New Roman" w:eastAsia="Times New Roman" w:cs="Times New Roman"/>
          <w:b/>
          <w:bCs/>
          <w:i/>
          <w:iCs/>
          <w:sz w:val="26"/>
          <w:szCs w:val="26"/>
          <w:rtl w:val="0"/>
        </w:rPr>
        <w:t xml:space="preserve">. </w:t>
      </w:r>
      <w:r>
        <w:rPr>
          <w:rFonts w:ascii="Times New Roman" w:hAnsi="Times New Roman" w:eastAsia="Times New Roman" w:cs="Times New Roman"/>
          <w:b/>
          <w:bCs/>
          <w:sz w:val="26"/>
          <w:szCs w:val="26"/>
          <w:rtl w:val="0"/>
        </w:rPr>
        <w:t xml:space="preserve">Mô hình Đầu vào - Tiến trình - Đầu ra của McGrath.</w:t>
      </w:r>
      <w:r>
        <w:rPr>
          <w:rFonts w:ascii="Times New Roman" w:hAnsi="Times New Roman" w:eastAsia="Times New Roman" w:cs="Times New Roman"/>
          <w:b/>
          <w:bCs/>
          <w:i/>
          <w:iCs/>
          <w:sz w:val="26"/>
          <w:szCs w:val="26"/>
          <w:rtl w:val="0"/>
        </w:rPr>
        <w:t xml:space="preserve"> </w:t>
      </w:r>
      <w:r>
        <w:rPr>
          <w:rFonts w:ascii="Times New Roman" w:hAnsi="Times New Roman" w:eastAsia="Times New Roman" w:cs="Times New Roman"/>
          <w:b/>
          <w:bCs/>
          <w:i/>
          <w:iCs/>
          <w:sz w:val="26"/>
          <w:szCs w:val="26"/>
        </w:rPr>
      </w:r>
    </w:p>
    <w:p w14:paraId="00000025">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Mô hình Đầu vào - Tiến trình - Đầu ra do McGrath (1964, 1984, trích trong</w:t>
      </w:r>
      <w:r>
        <w:rPr>
          <w:rFonts w:ascii="Times New Roman" w:hAnsi="Times New Roman" w:eastAsia="Times New Roman" w:cs="Times New Roman"/>
          <w:sz w:val="26"/>
          <w:szCs w:val="26"/>
          <w:rtl w:val="0"/>
        </w:rPr>
        <w:t xml:space="preserve"> Nguyễn Xuân Hưng và cộng sự, 2021) khởi xướng được xem là khung hệ thống kinh điển giải thích quy luật vận hành nhóm. Khung lý thuyết này tiếp cận hoạt động nhóm qua chuỗi tác động tuyến tính ba giai đoạn kế tiếp nhau. Tiến trình bắt đầu từ yếu tố đầu vào</w:t>
      </w:r>
      <w:r>
        <w:rPr>
          <w:rFonts w:ascii="Times New Roman" w:hAnsi="Times New Roman" w:eastAsia="Times New Roman" w:cs="Times New Roman"/>
          <w:sz w:val="26"/>
          <w:szCs w:val="26"/>
          <w:rtl w:val="0"/>
        </w:rPr>
        <w:t xml:space="preserve">, bao gồm đặc điểm cá nhân, cấu trúc nhóm và nguồn lực môi trường. Tiếp đó là tiến trình vận hành, là các hành vi tương tác như giao tiếp, phân công và quản lý tiến độ. Cuối cùng, kết quả đầu ra, là các thành tích sản phẩm học thuật và các chỉ số thái độ. </w:t>
      </w:r>
      <w:r>
        <w:rPr>
          <w:rFonts w:ascii="Times New Roman" w:hAnsi="Times New Roman" w:eastAsia="Times New Roman" w:cs="Times New Roman"/>
          <w:sz w:val="26"/>
          <w:szCs w:val="26"/>
        </w:rPr>
      </w:r>
    </w:p>
    <w:p w14:paraId="00000026">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Theo đó, Hackman (1983, trích trong Nguyễn Xuân Hưng và cộng sự, 2021) đã chuẩn hóa mô hình IPO thành khung phân tích mẫu mực trong môi trường giáo dục, làm cơ sở cho nhiều nghiên cứu thực nghiệm tại Việt Nam đối với nhóm sinh viên đại học.</w:t>
      </w:r>
      <w:r>
        <w:rPr>
          <w:rFonts w:ascii="Times New Roman" w:hAnsi="Times New Roman" w:eastAsia="Times New Roman" w:cs="Times New Roman"/>
          <w:sz w:val="26"/>
          <w:szCs w:val="26"/>
        </w:rPr>
      </w:r>
    </w:p>
    <w:p w14:paraId="00000027">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2.2. Lý thuyết Kiến tạo Xã hội và phương pháp học tập hợp tác.</w:t>
      </w:r>
      <w:r>
        <w:rPr>
          <w:rFonts w:ascii="Times New Roman" w:hAnsi="Times New Roman" w:eastAsia="Times New Roman" w:cs="Times New Roman"/>
          <w:b/>
          <w:bCs/>
          <w:sz w:val="26"/>
          <w:szCs w:val="26"/>
        </w:rPr>
      </w:r>
    </w:p>
    <w:p w14:paraId="00000028">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i/>
          <w:iCs/>
          <w:sz w:val="26"/>
          <w:szCs w:val="26"/>
          <w:rtl w:val="0"/>
        </w:rPr>
        <w:t xml:space="preserve">Lý thuyết Kiến tạo Xã hội </w:t>
      </w:r>
      <w:r>
        <w:rPr>
          <w:rFonts w:ascii="Times New Roman" w:hAnsi="Times New Roman" w:eastAsia="Times New Roman" w:cs="Times New Roman"/>
          <w:sz w:val="26"/>
          <w:szCs w:val="26"/>
          <w:rtl w:val="0"/>
        </w:rPr>
        <w:t xml:space="preserve">(Vygotsky, 1978, trích trong Francis và cộng sự, 2024) khẳng định sự phát triển nhận thức của cá nhân diễn ra thông q</w:t>
      </w:r>
      <w:r>
        <w:rPr>
          <w:rFonts w:ascii="Times New Roman" w:hAnsi="Times New Roman" w:eastAsia="Times New Roman" w:cs="Times New Roman"/>
          <w:sz w:val="26"/>
          <w:szCs w:val="26"/>
          <w:rtl w:val="0"/>
        </w:rPr>
        <w:t xml:space="preserve">ua tương tác xã hội và môi trường văn hóa. Trong giáo dục đại học, học tập hợp tác chính là sự cụ thể hóa học thuyết này, tạo ra môi trường tương tác đa chiều giúp người học chủ động xây dựng, thảo luận và điều chỉnh tri thức khi giải quyết nhiệm vụ chung.</w:t>
      </w:r>
      <w:r>
        <w:rPr>
          <w:rFonts w:ascii="Times New Roman" w:hAnsi="Times New Roman" w:eastAsia="Times New Roman" w:cs="Times New Roman"/>
          <w:sz w:val="26"/>
          <w:szCs w:val="26"/>
        </w:rPr>
      </w:r>
    </w:p>
    <w:p w14:paraId="00000029">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Áp dụng vào các bài tập nhóm và đồ án, làm việc nhóm đóng vai trò như một "vùng phát triển gần" tập thể, giúp sinh viên chia sẻ kinh nghiệm, tran</w:t>
      </w:r>
      <w:r>
        <w:rPr>
          <w:rFonts w:ascii="Times New Roman" w:hAnsi="Times New Roman" w:eastAsia="Times New Roman" w:cs="Times New Roman"/>
          <w:sz w:val="26"/>
          <w:szCs w:val="26"/>
          <w:rtl w:val="0"/>
        </w:rPr>
        <w:t xml:space="preserve">h luận và thương lượng để đi đến giải pháp tối ưu. Do đó, cách tiếp cận này cung cấp cơ sở lý luận vững chắc giải thích cơ chế các yếu tố đầu vào (năng lực, thái độ, sự hỗ trợ) chuyển hóa thông qua quá trình vận hành nhóm để tạo nên hiệu quả làm việc nhóm.</w:t>
      </w:r>
      <w:r>
        <w:rPr>
          <w:rtl w:val="0"/>
        </w:rPr>
      </w:r>
      <w:r>
        <w:rPr>
          <w:rFonts w:ascii="Times New Roman" w:hAnsi="Times New Roman" w:eastAsia="Times New Roman" w:cs="Times New Roman"/>
          <w:sz w:val="26"/>
          <w:szCs w:val="26"/>
        </w:rPr>
      </w:r>
    </w:p>
    <w:p w14:paraId="0000002A">
      <w:pPr>
        <w:numPr>
          <w:ilvl w:val="0"/>
          <w:numId w:val="2"/>
        </w:numPr>
        <w:pBdr/>
        <w:spacing w:after="0" w:line="360" w:lineRule="auto"/>
        <w:ind w:hanging="360" w:left="425"/>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Các yếu tố ảnh hưởng đến hiệu quả làm việc nhóm của sinh viên</w:t>
      </w:r>
      <w:r>
        <w:rPr>
          <w:rFonts w:ascii="Times New Roman" w:hAnsi="Times New Roman" w:eastAsia="Times New Roman" w:cs="Times New Roman"/>
          <w:sz w:val="26"/>
          <w:szCs w:val="26"/>
        </w:rPr>
      </w:r>
    </w:p>
    <w:p w14:paraId="0000002B">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w:t>
      </w:r>
      <w:r>
        <w:rPr>
          <w:rFonts w:ascii="Times New Roman" w:hAnsi="Times New Roman" w:eastAsia="Times New Roman" w:cs="Times New Roman"/>
          <w:sz w:val="26"/>
          <w:szCs w:val="26"/>
          <w:rtl w:val="0"/>
        </w:rPr>
        <w:t xml:space="preserve">iệu quả làm việc nhóm không hình thành một cách ngẫu nhiên mà chịu sự tác động tổng hòa của ba nhóm yếu tố chính: yếu tố cá nhân (đầu vào cá nhân), yếu tố nội bộ nhóm (đầu vào tập thể) và yếu tố môi trường nhà trường (Ha</w:t>
      </w:r>
      <w:r>
        <w:rPr>
          <w:rFonts w:ascii="Times New Roman" w:hAnsi="Times New Roman" w:eastAsia="Times New Roman" w:cs="Times New Roman"/>
          <w:sz w:val="26"/>
          <w:szCs w:val="26"/>
          <w:rtl w:val="0"/>
        </w:rPr>
        <w:t xml:space="preserve">ckman, 1983, trích trong Nguyễn Xuân Hưng và cộng sự, 2021). Trong đó, nhóm nhân tố thuộc về cá nhân đóng vai trò là "mắt xích" khởi đầu, quyết định sự sẵn sàng và khả năng đóng góp của từng thành viên vào tiến trình hợp tác chung (Nguyễn Thị Thắng, 2014).</w:t>
      </w:r>
      <w:r>
        <w:rPr>
          <w:rtl w:val="0"/>
        </w:rPr>
      </w:r>
      <w:r>
        <w:rPr>
          <w:rFonts w:ascii="Times New Roman" w:hAnsi="Times New Roman" w:eastAsia="Times New Roman" w:cs="Times New Roman"/>
          <w:sz w:val="26"/>
          <w:szCs w:val="26"/>
        </w:rPr>
      </w:r>
    </w:p>
    <w:p w14:paraId="0000002C">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3.1. Nhóm nhân tố thuộc về cá nhân (Sự cam kết, tinh thần trách nhiệm, kỹ năng giao tiếp)</w:t>
      </w:r>
      <w:r>
        <w:rPr>
          <w:rFonts w:ascii="Times New Roman" w:hAnsi="Times New Roman" w:eastAsia="Times New Roman" w:cs="Times New Roman"/>
          <w:b/>
          <w:bCs/>
          <w:sz w:val="26"/>
          <w:szCs w:val="26"/>
        </w:rPr>
      </w:r>
    </w:p>
    <w:p w14:paraId="0000002D">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Nhóm nhân tố cá nhân phản ánh toàn bộ tri thức, thái độ, động cơ và các kỹ năng mềm mà sinh viên tích lũy và vận dụng khi </w:t>
      </w:r>
      <w:r>
        <w:rPr>
          <w:rFonts w:ascii="Times New Roman" w:hAnsi="Times New Roman" w:eastAsia="Times New Roman" w:cs="Times New Roman"/>
          <w:sz w:val="26"/>
          <w:szCs w:val="26"/>
          <w:rtl w:val="0"/>
        </w:rPr>
        <w:t xml:space="preserve">tham gia hoạt động nhóm (De Prada và cộng sự, 2022; Nguyễn Thị Thắng, 2014). Trong số các thuộc tính cá nhân, sự cam kết, tinh thần trách nhiệm và kỹ năng giao tiếp được xem là ba trụ cột cốt lõi quy định trực tiếp thái độ và hành vi hợp tác của sinh viên </w:t>
      </w:r>
      <w:r>
        <w:rPr>
          <w:rFonts w:ascii="Times New Roman" w:hAnsi="Times New Roman" w:eastAsia="Times New Roman" w:cs="Times New Roman"/>
          <w:sz w:val="26"/>
          <w:szCs w:val="26"/>
          <w:rtl w:val="0"/>
        </w:rPr>
        <w:t xml:space="preserve">(Beatty và Barker-Scott, 2004, trích trong Nguyễn Xuân Hưng và cộng sự, 2021).</w:t>
      </w:r>
      <w:r>
        <w:rPr>
          <w:rtl w:val="0"/>
        </w:rPr>
      </w:r>
      <w:r>
        <w:rPr>
          <w:rFonts w:ascii="Times New Roman" w:hAnsi="Times New Roman" w:eastAsia="Times New Roman" w:cs="Times New Roman"/>
          <w:sz w:val="26"/>
          <w:szCs w:val="26"/>
        </w:rPr>
      </w:r>
    </w:p>
    <w:p w14:paraId="0000002E">
      <w:pPr>
        <w:pBdr/>
        <w:spacing w:after="0" w:line="36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a) Sự cam kết</w:t>
      </w:r>
      <w:r>
        <w:rPr>
          <w:rFonts w:ascii="Times New Roman" w:hAnsi="Times New Roman" w:eastAsia="Times New Roman" w:cs="Times New Roman"/>
          <w:b/>
          <w:bCs/>
          <w:sz w:val="26"/>
          <w:szCs w:val="26"/>
        </w:rPr>
      </w:r>
    </w:p>
    <w:p w14:paraId="0000002F">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Sự cam kết theo được định nghĩa là mức độ gắn kết về mặt động cơ và thái độ của cá nhân đối với mục tiêu chung cũng như phương pháp vận hà</w:t>
      </w:r>
      <w:r>
        <w:rPr>
          <w:rFonts w:ascii="Times New Roman" w:hAnsi="Times New Roman" w:eastAsia="Times New Roman" w:cs="Times New Roman"/>
          <w:sz w:val="26"/>
          <w:szCs w:val="26"/>
          <w:rtl w:val="0"/>
        </w:rPr>
        <w:t xml:space="preserve">nh của nhóm (Katzenbach và Smith, 1993; Nguyễn Thị Thắng, 2014). Trong môi trường giáo dục đại học, khi sinh viên thể hiện mức độ cam kết cao, họ sẵn sàng đặt lợi ích tập thể lên trên sự ưu tiên cá nhân và đầu tư thời gian, công sức để hoàn thành nhiệm vụ.</w:t>
      </w:r>
      <w:r>
        <w:rPr>
          <w:rFonts w:ascii="Times New Roman" w:hAnsi="Times New Roman" w:eastAsia="Times New Roman" w:cs="Times New Roman"/>
          <w:sz w:val="26"/>
          <w:szCs w:val="26"/>
        </w:rPr>
      </w:r>
    </w:p>
    <w:p w14:paraId="00000030">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Ngược lạ</w:t>
      </w:r>
      <w:r>
        <w:rPr>
          <w:rFonts w:ascii="Times New Roman" w:hAnsi="Times New Roman" w:eastAsia="Times New Roman" w:cs="Times New Roman"/>
          <w:sz w:val="26"/>
          <w:szCs w:val="26"/>
          <w:rtl w:val="0"/>
        </w:rPr>
        <w:t xml:space="preserve">i, sự thiếu hụt cam kết là nguyên nhân hàng đầu dẫn đến hiện tượng ỷ lại, gây tâm lý bất mãn, làm giảm động lực làm việc của các thành viên khác và suy giảm hiệu quả chung của nhóm (Caspersz và cộng sự, 2003; Francis và cộng sự, 2024; Trần Thị Thùy, 2018).</w:t>
      </w:r>
      <w:r>
        <w:rPr>
          <w:rFonts w:ascii="Times New Roman" w:hAnsi="Times New Roman" w:eastAsia="Times New Roman" w:cs="Times New Roman"/>
          <w:sz w:val="26"/>
          <w:szCs w:val="26"/>
        </w:rPr>
      </w:r>
    </w:p>
    <w:p w14:paraId="00000031">
      <w:pPr>
        <w:pBdr/>
        <w:spacing w:after="0" w:line="36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 Tinh thần trách nhiệm</w:t>
      </w:r>
      <w:r>
        <w:rPr>
          <w:rFonts w:ascii="Times New Roman" w:hAnsi="Times New Roman" w:eastAsia="Times New Roman" w:cs="Times New Roman"/>
          <w:b/>
          <w:bCs/>
          <w:sz w:val="26"/>
          <w:szCs w:val="26"/>
        </w:rPr>
      </w:r>
    </w:p>
    <w:p w14:paraId="00000032">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Tinh thần trách nhiệm thể hiện qua ý thức tự giác tuân thủ các chuẩn mực ứng xử, tác phong làm việc nghiêm túc và nghĩa vụ hoàn thành các phần việc được giao đúng hạn. Việc các cá nhân tự giác nhận t</w:t>
      </w:r>
      <w:r>
        <w:rPr>
          <w:rFonts w:ascii="Times New Roman" w:hAnsi="Times New Roman" w:eastAsia="Times New Roman" w:cs="Times New Roman"/>
          <w:sz w:val="26"/>
          <w:szCs w:val="26"/>
          <w:rtl w:val="0"/>
        </w:rPr>
        <w:t xml:space="preserve">rách nhiệm giúp nhóm thiết lập cơ chế giải trình tương hỗ, thúc đẩy sự cẩn trọng trong ra quyết định và giữ cho tiến độ công việc không bị lệch hướng (Beatty và Barker-Scott, 2004, trích trong Nguyễn Xuân Hưng và cộng sự, 2021; Katzenbach và Smith, 1993). </w:t>
      </w:r>
      <w:r>
        <w:rPr>
          <w:rFonts w:ascii="Times New Roman" w:hAnsi="Times New Roman" w:eastAsia="Times New Roman" w:cs="Times New Roman"/>
          <w:sz w:val="26"/>
          <w:szCs w:val="26"/>
        </w:rPr>
      </w:r>
    </w:p>
    <w:p w14:paraId="00000033">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Các nghiên cứu thực nghiệm gần </w:t>
      </w:r>
      <w:r>
        <w:rPr>
          <w:rFonts w:ascii="Times New Roman" w:hAnsi="Times New Roman" w:eastAsia="Times New Roman" w:cs="Times New Roman"/>
          <w:sz w:val="26"/>
          <w:szCs w:val="26"/>
          <w:rtl w:val="0"/>
        </w:rPr>
        <w:t xml:space="preserve">đây tại Việt Nam khẳng định thái độ làm việc và tinh thần trách nhiệm của cá nhân là yếu tố có tác động tích cực và mạnh mẽ nhất đến quá trình làm việc và kết quả nhóm của sinh viên (Đặng Thị Tuyết Ngọc và cộng sự, 2025; Nguyễn Xuân Hưng và cộng sự, 2021).</w:t>
      </w:r>
      <w:r>
        <w:rPr>
          <w:rFonts w:ascii="Times New Roman" w:hAnsi="Times New Roman" w:eastAsia="Times New Roman" w:cs="Times New Roman"/>
          <w:sz w:val="26"/>
          <w:szCs w:val="26"/>
        </w:rPr>
      </w:r>
    </w:p>
    <w:p w14:paraId="00000034">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c) Kỹ năng giao tiếp:</w:t>
      </w:r>
      <w:r>
        <w:rPr>
          <w:rFonts w:ascii="Times New Roman" w:hAnsi="Times New Roman" w:eastAsia="Times New Roman" w:cs="Times New Roman"/>
          <w:b/>
          <w:bCs/>
          <w:sz w:val="26"/>
          <w:szCs w:val="26"/>
        </w:rPr>
      </w:r>
    </w:p>
    <w:p w14:paraId="00000035">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Kỹ năng giao tiếp trong là</w:t>
      </w:r>
      <w:r>
        <w:rPr>
          <w:rFonts w:ascii="Times New Roman" w:hAnsi="Times New Roman" w:eastAsia="Times New Roman" w:cs="Times New Roman"/>
          <w:sz w:val="26"/>
          <w:szCs w:val="26"/>
          <w:rtl w:val="0"/>
        </w:rPr>
        <w:t xml:space="preserve">m việc nhóm là khả năng trao đổi thông tin một cách rõ ràng, chính xác, lắng nghe tích cực, phản hồi mang tính xây dựng và giải quyết mâu thuẫn. Kỹ năng giao tiếp tốt giúp các thành viên dễ dàng chia sẻ tri thức chuyên môn, tranh luận học thuật cởi mở và x</w:t>
      </w:r>
      <w:r>
        <w:rPr>
          <w:rFonts w:ascii="Times New Roman" w:hAnsi="Times New Roman" w:eastAsia="Times New Roman" w:cs="Times New Roman"/>
          <w:sz w:val="26"/>
          <w:szCs w:val="26"/>
          <w:rtl w:val="0"/>
        </w:rPr>
        <w:t xml:space="preserve">ây dựng mô hình tâm trí chung về nhiệm vụ. Hơn thế, giao tiếp đa chiều giúp tháo gỡ các rào cản về mặt nhận thức, củng cố niềm tin, giảm thiểu xung đột mối quan hệ và tối ưu hóa sự phối hợp trong nhóm (Caspersz và cộng sự, 2003; De Prada và cộng sự, 2022).</w:t>
      </w:r>
      <w:r>
        <w:rPr>
          <w:rFonts w:ascii="Times New Roman" w:hAnsi="Times New Roman" w:eastAsia="Times New Roman" w:cs="Times New Roman"/>
          <w:sz w:val="26"/>
          <w:szCs w:val="26"/>
        </w:rPr>
      </w:r>
    </w:p>
    <w:p w14:paraId="00000036">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Giả thuyết H</w:t>
      </w:r>
      <w:r>
        <w:rPr>
          <w:rFonts w:ascii="Times New Roman" w:hAnsi="Times New Roman" w:eastAsia="Times New Roman" w:cs="Times New Roman"/>
          <w:b/>
          <w:bCs/>
          <w:sz w:val="26"/>
          <w:szCs w:val="26"/>
          <w:vertAlign w:val="subscript"/>
          <w:rtl w:val="0"/>
        </w:rPr>
        <w:t xml:space="preserve">1</w:t>
      </w:r>
      <w:r>
        <w:rPr>
          <w:rFonts w:ascii="Times New Roman" w:hAnsi="Times New Roman" w:eastAsia="Times New Roman" w:cs="Times New Roman"/>
          <w:sz w:val="26"/>
          <w:szCs w:val="26"/>
          <w:rtl w:val="0"/>
        </w:rPr>
        <w:t xml:space="preserve">: Nhóm nhân tố thuộc về cá nhân (sự cam kết, tinh thần trách nhiệm và kỹ năng giao tiếp) có tác động tích cực đến hiệu quả làm việc nhóm của sinh viên.</w:t>
      </w:r>
      <w:r>
        <w:rPr>
          <w:rtl w:val="0"/>
        </w:rPr>
      </w:r>
      <w:r>
        <w:rPr>
          <w:rFonts w:ascii="Times New Roman" w:hAnsi="Times New Roman" w:eastAsia="Times New Roman" w:cs="Times New Roman"/>
          <w:sz w:val="26"/>
          <w:szCs w:val="26"/>
        </w:rPr>
      </w:r>
    </w:p>
    <w:p w14:paraId="00000037">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3.2 Nhóm nhân tố thuộc về nội bộ nhóm (Vai trò của nhóm trưởng, sự gắn kết, sự tương tác, xung đột)</w:t>
      </w:r>
      <w:r>
        <w:rPr>
          <w:rFonts w:ascii="Times New Roman" w:hAnsi="Times New Roman" w:eastAsia="Times New Roman" w:cs="Times New Roman"/>
          <w:b/>
          <w:bCs/>
          <w:sz w:val="26"/>
          <w:szCs w:val="26"/>
        </w:rPr>
      </w:r>
    </w:p>
    <w:p w14:paraId="00000038">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Khi tham gia vào nhóm, vô hình các bạn sinh viên đã tham vào một xã hội thu nhỏ, nơi các hành vi hợp tác được định hình, điều chỉnh và tối ưu hóa thông qua vai trò của nhóm trưởng, sự gắn kết, sự tương tác và kiểm soát xung đột.</w:t>
      </w:r>
      <w:r>
        <w:rPr>
          <w:rFonts w:ascii="Times New Roman" w:hAnsi="Times New Roman" w:eastAsia="Times New Roman" w:cs="Times New Roman"/>
          <w:sz w:val="26"/>
          <w:szCs w:val="26"/>
        </w:rPr>
      </w:r>
    </w:p>
    <w:p w14:paraId="00000039">
      <w:pPr>
        <w:numPr>
          <w:ilvl w:val="0"/>
          <w:numId w:val="6"/>
        </w:numPr>
        <w:pBdr/>
        <w:shd w:val="clear" w:color="auto" w:fill="ffffff"/>
        <w:spacing w:after="0" w:afterAutospacing="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Vai trò của nhóm trưởng</w:t>
      </w:r>
      <w:r>
        <w:rPr>
          <w:rFonts w:ascii="Times New Roman" w:hAnsi="Times New Roman" w:eastAsia="Times New Roman" w:cs="Times New Roman"/>
          <w:sz w:val="26"/>
          <w:szCs w:val="26"/>
          <w:rtl w:val="0"/>
        </w:rPr>
        <w:t xml:space="preserve">: Theo Harris (2003, trích trong Nguyễn Xuân Hưng và cộng sự., 2021) trong môi trường học tập đ</w:t>
      </w:r>
      <w:r>
        <w:rPr>
          <w:rFonts w:ascii="Times New Roman" w:hAnsi="Times New Roman" w:eastAsia="Times New Roman" w:cs="Times New Roman"/>
          <w:sz w:val="26"/>
          <w:szCs w:val="26"/>
          <w:rtl w:val="0"/>
        </w:rPr>
        <w:t xml:space="preserve">ại học, nhóm trưởng đóng vai trò điều phối và định hướng hoạt động nhóm. Một người nhóm trưởng không những đảm nhận nhiệm vụ lập kế hoạch, phân công công việc phù hợp với năng lực từng thành viên mà còn giữ vai trò theo dõi tiến độ và duy trì kỷ luật nhóm.</w:t>
      </w:r>
      <w:r>
        <w:rPr>
          <w:rFonts w:ascii="Times New Roman" w:hAnsi="Times New Roman" w:eastAsia="Times New Roman" w:cs="Times New Roman"/>
          <w:sz w:val="26"/>
          <w:szCs w:val="26"/>
        </w:rPr>
      </w:r>
    </w:p>
    <w:p w14:paraId="0000003A">
      <w:pPr>
        <w:numPr>
          <w:ilvl w:val="0"/>
          <w:numId w:val="6"/>
        </w:numPr>
        <w:pBdr/>
        <w:shd w:val="clear" w:color="auto" w:fill="ffffff"/>
        <w:spacing w:after="0" w:afterAutospacing="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Sự gắn kết nhóm</w:t>
      </w:r>
      <w:r>
        <w:rPr>
          <w:rFonts w:ascii="Times New Roman" w:hAnsi="Times New Roman" w:eastAsia="Times New Roman" w:cs="Times New Roman"/>
          <w:sz w:val="26"/>
          <w:szCs w:val="26"/>
          <w:rtl w:val="0"/>
        </w:rPr>
        <w:t xml:space="preserve">: Sự gắn kết phản ánh mức độ hấp dẫn tương hỗ và tinh thần đoàn kết giữa các thành viên</w:t>
      </w:r>
      <w:r>
        <w:rPr>
          <w:rFonts w:ascii="Times New Roman" w:hAnsi="Times New Roman" w:eastAsia="Times New Roman" w:cs="Times New Roman"/>
          <w:sz w:val="26"/>
          <w:szCs w:val="26"/>
          <w:rtl w:val="0"/>
        </w:rPr>
        <w:t xml:space="preserve"> nhằm hướng tới việc duy trì tồn tại nhóm và đạt được mục tiêu chung. Về mặt nhiệm vụ tạo ra động lực nội tại thúc đẩy sinh viên sẵn sàng chia sẻ khối lượng công việc, hỗ trợ lẫn nhau khi gặp khó khăn. (Francis và cộng sự, 2024; Katzenbach và Smith, 1993).</w:t>
      </w:r>
      <w:r>
        <w:rPr>
          <w:rFonts w:ascii="Times New Roman" w:hAnsi="Times New Roman" w:eastAsia="Times New Roman" w:cs="Times New Roman"/>
          <w:sz w:val="26"/>
          <w:szCs w:val="26"/>
        </w:rPr>
      </w:r>
    </w:p>
    <w:p w14:paraId="0000003B">
      <w:pPr>
        <w:numPr>
          <w:ilvl w:val="0"/>
          <w:numId w:val="6"/>
        </w:numPr>
        <w:pBdr/>
        <w:shd w:val="clear" w:color="auto" w:fill="ffffff"/>
        <w:spacing w:after="0" w:afterAutospacing="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Sự tương tác nhóm</w:t>
      </w:r>
      <w:r>
        <w:rPr>
          <w:rFonts w:ascii="Times New Roman" w:hAnsi="Times New Roman" w:eastAsia="Times New Roman" w:cs="Times New Roman"/>
          <w:sz w:val="26"/>
          <w:szCs w:val="26"/>
          <w:rtl w:val="0"/>
        </w:rPr>
        <w:t xml:space="preserve">: Theo Fransen (2012), tương tác thường xuyên và hiệu quả giúp nhóm nhanh chóng xây dựng </w:t>
      </w:r>
      <w:r>
        <w:rPr>
          <w:rFonts w:ascii="Times New Roman" w:hAnsi="Times New Roman" w:eastAsia="Times New Roman" w:cs="Times New Roman"/>
          <w:i/>
          <w:iCs/>
          <w:sz w:val="26"/>
          <w:szCs w:val="26"/>
          <w:rtl w:val="0"/>
        </w:rPr>
        <w:t xml:space="preserve">"mô hình tâm trí chung"</w:t>
      </w:r>
      <w:r>
        <w:rPr>
          <w:rFonts w:ascii="Times New Roman" w:hAnsi="Times New Roman" w:eastAsia="Times New Roman" w:cs="Times New Roman"/>
          <w:sz w:val="26"/>
          <w:szCs w:val="26"/>
          <w:rtl w:val="0"/>
        </w:rPr>
        <w:t xml:space="preserve"> - tức </w:t>
      </w:r>
      <w:r>
        <w:rPr>
          <w:rFonts w:ascii="Times New Roman" w:hAnsi="Times New Roman" w:eastAsia="Times New Roman" w:cs="Times New Roman"/>
          <w:sz w:val="26"/>
          <w:szCs w:val="26"/>
          <w:rtl w:val="0"/>
        </w:rPr>
        <w:t xml:space="preserve">sự hiểu biết thống nhất về mục tiêu, chiến lược và phương pháp vận hành. Quá trình trao đổi thông tin liên tục và giám sát hiệu quả công việc lẫn nhau giúp nhóm kịp thời phát hiện các sai sót, điều chỉnh phương án hành động và tối ưu hóa nguồn lực tập thể.</w:t>
      </w:r>
      <w:r>
        <w:rPr>
          <w:rFonts w:ascii="Times New Roman" w:hAnsi="Times New Roman" w:eastAsia="Times New Roman" w:cs="Times New Roman"/>
          <w:sz w:val="26"/>
          <w:szCs w:val="26"/>
        </w:rPr>
      </w:r>
    </w:p>
    <w:p w14:paraId="0000003C">
      <w:pPr>
        <w:numPr>
          <w:ilvl w:val="0"/>
          <w:numId w:val="6"/>
        </w:numPr>
        <w:pBdr/>
        <w:shd w:val="clear" w:color="auto" w:fill="ffffff"/>
        <w:spacing w:after="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Xung đột trong nhóm</w:t>
      </w:r>
      <w:r>
        <w:rPr>
          <w:rFonts w:ascii="Times New Roman" w:hAnsi="Times New Roman" w:eastAsia="Times New Roman" w:cs="Times New Roman"/>
          <w:sz w:val="26"/>
          <w:szCs w:val="26"/>
          <w:rtl w:val="0"/>
        </w:rPr>
        <w:t xml:space="preserve">: Xung đột là hiện tượng tâm lý xã hội tất yếu phát sinh trong quá trình tương tác nhóm, được chia thành hai dạng chính: xung đột nhiệm vụ và xung đột mối quan hệ. Xung đột nhiệm vụ - liên quan đến sự bất đồng quan điểm về ý tưởng chuyên </w:t>
      </w:r>
      <w:r>
        <w:rPr>
          <w:rFonts w:ascii="Times New Roman" w:hAnsi="Times New Roman" w:eastAsia="Times New Roman" w:cs="Times New Roman"/>
          <w:sz w:val="26"/>
          <w:szCs w:val="26"/>
          <w:rtl w:val="0"/>
        </w:rPr>
        <w:t xml:space="preserve">môn hoặc giải pháp kỹ thuật - nếu được quản lý tốt sẽ kích thích tư duy phản biện, ngăn ngừa hiện tượng "tư duy nhóm" và nâng cao chất lượng quyết định (De Dreu và Weingart, 2003, trích trong Fransen, 2012; Jehn, 1995, trích trong D'Silva và Ahrari, 2016).</w:t>
      </w:r>
      <w:r>
        <w:rPr>
          <w:rFonts w:ascii="Times New Roman" w:hAnsi="Times New Roman" w:eastAsia="Times New Roman" w:cs="Times New Roman"/>
          <w:sz w:val="26"/>
          <w:szCs w:val="26"/>
        </w:rPr>
      </w:r>
    </w:p>
    <w:p w14:paraId="0000003D">
      <w:pPr>
        <w:pBdr/>
        <w:shd w:val="clear" w:color="auto" w:fill="ffffff"/>
        <w:spacing w:after="18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Giả thuyết H</w:t>
      </w:r>
      <w:r>
        <w:rPr>
          <w:rFonts w:ascii="Times New Roman" w:hAnsi="Times New Roman" w:eastAsia="Times New Roman" w:cs="Times New Roman"/>
          <w:b/>
          <w:bCs/>
          <w:sz w:val="26"/>
          <w:szCs w:val="26"/>
          <w:vertAlign w:val="subscript"/>
          <w:rtl w:val="0"/>
        </w:rPr>
        <w:t xml:space="preserve">2</w:t>
      </w:r>
      <w:r>
        <w:rPr>
          <w:rFonts w:ascii="Times New Roman" w:hAnsi="Times New Roman" w:eastAsia="Times New Roman" w:cs="Times New Roman"/>
          <w:sz w:val="26"/>
          <w:szCs w:val="26"/>
          <w:rtl w:val="0"/>
        </w:rPr>
        <w:t xml:space="preserve">: Nhóm nhân tố thuộc về nội bộ nhóm (vai trò của nhóm trưởng, sự gắn kết, sự tương tác và kiểm soát xung đột) có tác động tích cực đến hiệu quả làm việc nhóm của sinh viên.</w:t>
      </w:r>
      <w:r>
        <w:rPr>
          <w:rFonts w:ascii="Times New Roman" w:hAnsi="Times New Roman" w:eastAsia="Times New Roman" w:cs="Times New Roman"/>
          <w:sz w:val="26"/>
          <w:szCs w:val="26"/>
        </w:rPr>
      </w:r>
    </w:p>
    <w:p w14:paraId="0000003E">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3.3 Nhóm nhân tố thuộc về môi trường nhà trường IUH (Sự hỗ trợ của giảng viên, cơ sở vật chất).</w:t>
      </w:r>
      <w:r>
        <w:rPr>
          <w:rFonts w:ascii="Times New Roman" w:hAnsi="Times New Roman" w:eastAsia="Times New Roman" w:cs="Times New Roman"/>
          <w:b/>
          <w:bCs/>
          <w:sz w:val="26"/>
          <w:szCs w:val="26"/>
        </w:rPr>
      </w:r>
    </w:p>
    <w:p w14:paraId="0000003F">
      <w:pPr>
        <w:pBdr/>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khung p</w:t>
      </w:r>
      <w:r>
        <w:rPr>
          <w:rFonts w:ascii="Times New Roman" w:hAnsi="Times New Roman" w:eastAsia="Times New Roman" w:cs="Times New Roman"/>
          <w:sz w:val="26"/>
          <w:szCs w:val="26"/>
          <w:rtl w:val="0"/>
        </w:rPr>
        <w:t xml:space="preserve">hân tích Đầu vào - Tiến trình - Đầu ra (IPO), bên cạnh năng lực cá nhân và đặc điểm vận hành nội bộ nhóm, hiệu quả làm việc nhóm còn chịu sự chi phối mạnh mẽ bởi nhóm yếu tố môi trường tổ chức (Hackman, 1983, trích trong Nguyễn Xuân Hưng và cộng sự, 2021).</w:t>
      </w:r>
      <w:r>
        <w:rPr>
          <w:rFonts w:ascii="Times New Roman" w:hAnsi="Times New Roman" w:eastAsia="Times New Roman" w:cs="Times New Roman"/>
          <w:sz w:val="26"/>
          <w:szCs w:val="26"/>
        </w:rPr>
      </w:r>
    </w:p>
    <w:p w14:paraId="00000040">
      <w:pPr>
        <w:pBdr/>
        <w:spacing w:after="0" w:line="36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a) Sự hỗ trợ và định hướng của giảng viên</w:t>
      </w:r>
      <w:r>
        <w:rPr>
          <w:rFonts w:ascii="Times New Roman" w:hAnsi="Times New Roman" w:eastAsia="Times New Roman" w:cs="Times New Roman"/>
          <w:b/>
          <w:bCs/>
          <w:sz w:val="26"/>
          <w:szCs w:val="26"/>
        </w:rPr>
      </w:r>
    </w:p>
    <w:p w14:paraId="00000041">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Trong môi trường học tập đại học, giảng viên không chỉ đơn thuần là người giao bài tập hay đánh giá sản phẩm cuối cùng mà giữ vai trò là người thiết kế, cố vấn và duy trì "khung hỗ trợ" cho ti</w:t>
      </w:r>
      <w:r>
        <w:rPr>
          <w:rFonts w:ascii="Times New Roman" w:hAnsi="Times New Roman" w:eastAsia="Times New Roman" w:cs="Times New Roman"/>
          <w:sz w:val="26"/>
          <w:szCs w:val="26"/>
          <w:rtl w:val="0"/>
        </w:rPr>
        <w:t xml:space="preserve">ến trình làm việc nhóm. Theo Fathi và cộng sự (2019), việc giảng viên làm rõ mục tiêu học tập, hướng dẫn kỹ năng làm việc nhóm từ giai đoạn đầu, cũng như duy trì các buổi kiểm tra tiến độ định kỳ có tác động quyết định đến mức độ thành công của dự án nhóm.</w:t>
      </w:r>
      <w:r>
        <w:rPr>
          <w:rtl w:val="0"/>
        </w:rPr>
      </w:r>
      <w:r>
        <w:rPr>
          <w:rFonts w:ascii="Times New Roman" w:hAnsi="Times New Roman" w:eastAsia="Times New Roman" w:cs="Times New Roman"/>
          <w:sz w:val="26"/>
          <w:szCs w:val="26"/>
        </w:rPr>
      </w:r>
    </w:p>
    <w:p w14:paraId="00000042">
      <w:pPr>
        <w:pBdr/>
        <w:spacing w:after="0" w:line="360" w:lineRule="auto"/>
        <w:ind/>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b) Cơ sở vật chất và công nghệ hạ tầng</w:t>
      </w:r>
      <w:r>
        <w:rPr>
          <w:rFonts w:ascii="Times New Roman" w:hAnsi="Times New Roman" w:eastAsia="Times New Roman" w:cs="Times New Roman"/>
          <w:b/>
          <w:bCs/>
          <w:sz w:val="26"/>
          <w:szCs w:val="26"/>
        </w:rPr>
      </w:r>
    </w:p>
    <w:p w14:paraId="00000043">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Điều kiện c</w:t>
      </w:r>
      <w:r>
        <w:rPr>
          <w:rFonts w:ascii="Times New Roman" w:hAnsi="Times New Roman" w:eastAsia="Times New Roman" w:cs="Times New Roman"/>
          <w:sz w:val="26"/>
          <w:szCs w:val="26"/>
          <w:rtl w:val="0"/>
        </w:rPr>
        <w:t xml:space="preserve">ơ sở vật chất và sự tích hợp công nghệ đóng vai trò là nền tảng kỹ thuật đảm bảo tính thông suốt cho quá trình tương tác nhóm (D'Silva và Ahrari, 2016; Fathi và cộng sự, 2019). Tại IUH, với đặc thù đào tạo ứng dụng đa ngành tại IUH đòi hỏi sự hỗ trợ hạ tần</w:t>
      </w:r>
      <w:r>
        <w:rPr>
          <w:rFonts w:ascii="Times New Roman" w:hAnsi="Times New Roman" w:eastAsia="Times New Roman" w:cs="Times New Roman"/>
          <w:sz w:val="26"/>
          <w:szCs w:val="26"/>
          <w:rtl w:val="0"/>
        </w:rPr>
        <w:t xml:space="preserve">g rất lớn cho sinh viên làm đồ án và bài tập lớn. Nhà trường cần đảm bảo hệ thống không gian tự học, phòng thực hành/thí nghiệm đạt chuẩn và hạ tầng mạng internet ổn định là điều kiện tiên quyết (Fathi và cộng sự, 2019; Nguyễn Xuân Hưng và cộng sự, 2021). </w:t>
      </w:r>
      <w:r>
        <w:rPr>
          <w:rFonts w:ascii="Times New Roman" w:hAnsi="Times New Roman" w:eastAsia="Times New Roman" w:cs="Times New Roman"/>
          <w:sz w:val="26"/>
          <w:szCs w:val="26"/>
          <w:rtl w:val="0"/>
        </w:rPr>
        <w:t xml:space="preserve">Nhìn chung, cơ sở vật chất và công nghệ hạ tầng là điều kiện tiên quyết và quan trọng để đảm bảo môi trường học tập của sinh viên tại IUH đạt hiệu quả cao nhất. </w:t>
      </w:r>
      <w:r>
        <w:rPr>
          <w:rtl w:val="0"/>
        </w:rPr>
      </w:r>
      <w:r>
        <w:rPr>
          <w:rFonts w:ascii="Times New Roman" w:hAnsi="Times New Roman" w:eastAsia="Times New Roman" w:cs="Times New Roman"/>
          <w:sz w:val="26"/>
          <w:szCs w:val="26"/>
        </w:rPr>
      </w:r>
    </w:p>
    <w:p w14:paraId="00000044">
      <w:pPr>
        <w:pBdr/>
        <w:spacing w:after="0" w:line="360" w:lineRule="auto"/>
        <w:ind/>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Giả thuyết H3: </w:t>
      </w:r>
      <w:r>
        <w:rPr>
          <w:rFonts w:ascii="Times New Roman" w:hAnsi="Times New Roman" w:eastAsia="Times New Roman" w:cs="Times New Roman"/>
          <w:sz w:val="26"/>
          <w:szCs w:val="26"/>
          <w:rtl w:val="0"/>
        </w:rPr>
        <w:t xml:space="preserve">Nhóm nhân tố thuộc về môi trường nhà trường IUH (sự hỗ trợ của giảng viên, cơ sở vật chất) có tác động tích cực đến hiệu quả làm việc nhóm của sinh viên.</w:t>
      </w:r>
      <w:r>
        <w:rPr>
          <w:rtl w:val="0"/>
        </w:rPr>
      </w:r>
      <w:r>
        <w:rPr>
          <w:rFonts w:ascii="Times New Roman" w:hAnsi="Times New Roman" w:eastAsia="Times New Roman" w:cs="Times New Roman"/>
          <w:sz w:val="26"/>
          <w:szCs w:val="26"/>
        </w:rPr>
      </w:r>
    </w:p>
    <w:p w14:paraId="00000045">
      <w:pPr>
        <w:numPr>
          <w:ilvl w:val="0"/>
          <w:numId w:val="2"/>
        </w:numPr>
        <w:pBdr/>
        <w:spacing w:after="0" w:line="360" w:lineRule="auto"/>
        <w:ind w:hanging="360" w:left="425"/>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Tổng hợp các nghiên cứu thực nghiệm liên quan và Khoảng trống nghiên cứu</w:t>
      </w:r>
      <w:r>
        <w:rPr>
          <w:rFonts w:ascii="Times New Roman" w:hAnsi="Times New Roman" w:eastAsia="Times New Roman" w:cs="Times New Roman"/>
          <w:sz w:val="26"/>
          <w:szCs w:val="26"/>
        </w:rPr>
      </w:r>
    </w:p>
    <w:p w14:paraId="00000046">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4.1. Tổng hợp kết quả từ các nghiên cứu trước đây về hiệu quả làm việc nhóm.</w:t>
      </w:r>
      <w:r>
        <w:rPr>
          <w:rFonts w:ascii="Times New Roman" w:hAnsi="Times New Roman" w:eastAsia="Times New Roman" w:cs="Times New Roman"/>
          <w:b/>
          <w:bCs/>
          <w:sz w:val="26"/>
          <w:szCs w:val="26"/>
        </w:rPr>
      </w:r>
    </w:p>
    <w:p w14:paraId="00000047">
      <w:pPr>
        <w:pBdr/>
        <w:shd w:val="clear" w:color="auto" w:fill="ffffff"/>
        <w:spacing w:after="0" w:before="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Hiệu quả làm việc nhóm của sinh viên chịu sự chi phối tổng hòa từ năng lực cá nhân, tiến trình tương tác nội bộ và sự hỗ trợ từ phía nhà trường cũng như giảng viên, nhóm rút ra được các kết quả như sau:</w:t>
      </w:r>
      <w:r>
        <w:rPr>
          <w:rFonts w:ascii="Times New Roman" w:hAnsi="Times New Roman" w:eastAsia="Times New Roman" w:cs="Times New Roman"/>
          <w:sz w:val="26"/>
          <w:szCs w:val="26"/>
        </w:rPr>
      </w:r>
    </w:p>
    <w:p w14:paraId="00000048">
      <w:pPr>
        <w:numPr>
          <w:ilvl w:val="0"/>
          <w:numId w:val="8"/>
        </w:numPr>
        <w:pBdr/>
        <w:shd w:val="clear" w:color="auto" w:fill="ffffff"/>
        <w:spacing w:after="0" w:before="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Vai trò quyết định của tính phụ thuộc nhiệm vụ:</w:t>
      </w:r>
      <w:r>
        <w:rPr>
          <w:rFonts w:ascii="Times New Roman" w:hAnsi="Times New Roman" w:eastAsia="Times New Roman" w:cs="Times New Roman"/>
          <w:sz w:val="26"/>
          <w:szCs w:val="26"/>
          <w:rtl w:val="0"/>
        </w:rPr>
        <w:t xml:space="preserve"> D'Silva và Ahrari (2016) đã chỉ ra rằng tính phụ thuộc nhiệm vụ là yếu tố đầu vào duy nhất có tác động tích cực trực tiếp và có ý nghĩa thống kê đến hiệu quả nhóm, vượt trên ảnh hưởng của xung đột nhiệm vụ và đặc điểm tính cách cá nhân.</w:t>
      </w:r>
      <w:r>
        <w:rPr>
          <w:rFonts w:ascii="Times New Roman" w:hAnsi="Times New Roman" w:eastAsia="Times New Roman" w:cs="Times New Roman"/>
          <w:sz w:val="26"/>
          <w:szCs w:val="26"/>
        </w:rPr>
      </w:r>
    </w:p>
    <w:p w14:paraId="00000049">
      <w:pPr>
        <w:numPr>
          <w:ilvl w:val="0"/>
          <w:numId w:val="1"/>
        </w:numPr>
        <w:pBdr/>
        <w:shd w:val="clear" w:color="auto" w:fill="ffffff"/>
        <w:spacing w:after="0" w:before="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Phát hiện bất ngờ về "Mối quan hệ cá nhân sẵn có":</w:t>
      </w:r>
      <w:r>
        <w:rPr>
          <w:rFonts w:ascii="Times New Roman" w:hAnsi="Times New Roman" w:eastAsia="Times New Roman" w:cs="Times New Roman"/>
          <w:sz w:val="26"/>
          <w:szCs w:val="26"/>
          <w:rtl w:val="0"/>
        </w:rPr>
        <w:t xml:space="preserve"> Vận dụng mô hình IPO và kỹ thuật PLS-SEM khảo sát 302 sinh viên đại học, Nguyễn Xuân Hưng và cộng sự (2021) đã chỉ ra mối quan hệ quen biết hoặc thân thiết sẵn có giữa các thành viên trước khi lập nhóm không có tác động trực tiếp có ý nghĩa thống kê đến</w:t>
      </w:r>
      <w:r>
        <w:rPr>
          <w:rFonts w:ascii="Times New Roman" w:hAnsi="Times New Roman" w:eastAsia="Times New Roman" w:cs="Times New Roman"/>
          <w:sz w:val="26"/>
          <w:szCs w:val="26"/>
          <w:rtl w:val="0"/>
        </w:rPr>
        <w:t xml:space="preserve"> quá trình làm việc hay kết quả nhóm. Kết quả này chứng minh thái độ, kỷ luật và tác phong làm việc chuyên nghiệp đóng vai trò quyết định hơn sự quen biết từ trước (kết quả tương tự cũng được ghi nhận ở nghiên cứu của Đặng Thị Tuyết Ngọc và cộng sự, 2025).</w:t>
      </w:r>
      <w:r>
        <w:rPr>
          <w:rFonts w:ascii="Times New Roman" w:hAnsi="Times New Roman" w:eastAsia="Times New Roman" w:cs="Times New Roman"/>
          <w:sz w:val="26"/>
          <w:szCs w:val="26"/>
        </w:rPr>
      </w:r>
    </w:p>
    <w:p w14:paraId="0000004A">
      <w:pPr>
        <w:pBdr/>
        <w:spacing w:after="0" w:line="360" w:lineRule="auto"/>
        <w:ind w:firstLine="0" w:left="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 xml:space="preserve">4.2. Nhận diện khoảng trống nghiên cứu tại bối cảnh Trường Đại học Công nghiệp TP.HCM (IUH)</w:t>
      </w:r>
      <w:r>
        <w:rPr>
          <w:rFonts w:ascii="Times New Roman" w:hAnsi="Times New Roman" w:eastAsia="Times New Roman" w:cs="Times New Roman"/>
          <w:b/>
          <w:bCs/>
          <w:sz w:val="26"/>
          <w:szCs w:val="26"/>
        </w:rPr>
      </w:r>
    </w:p>
    <w:p w14:paraId="0000004B">
      <w:pPr>
        <w:pBdr/>
        <w:shd w:val="clear" w:color="auto" w:fill="ffffff"/>
        <w:spacing w:after="0" w:line="360" w:lineRule="auto"/>
        <w:ind w:firstLine="0" w:left="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Từ đó, nhóm nhận diện ba khoảng trống nghiên cứu sau:</w:t>
      </w:r>
      <w:r>
        <w:rPr>
          <w:rFonts w:ascii="Times New Roman" w:hAnsi="Times New Roman" w:eastAsia="Times New Roman" w:cs="Times New Roman"/>
          <w:sz w:val="26"/>
          <w:szCs w:val="26"/>
        </w:rPr>
      </w:r>
    </w:p>
    <w:p w14:paraId="0000004C">
      <w:pPr>
        <w:numPr>
          <w:ilvl w:val="0"/>
          <w:numId w:val="7"/>
        </w:numPr>
        <w:pBdr/>
        <w:shd w:val="clear" w:color="auto" w:fill="ffffff"/>
        <w:spacing w:after="0" w:afterAutospacing="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Khoảng trống về bối cảnh đào tạo ứng dụng đa ngành (Kỹ </w:t>
      </w:r>
      <w:r>
        <w:rPr>
          <w:rFonts w:ascii="Times New Roman" w:hAnsi="Times New Roman" w:eastAsia="Times New Roman" w:cs="Times New Roman"/>
          <w:sz w:val="26"/>
          <w:szCs w:val="26"/>
          <w:rtl w:val="0"/>
        </w:rPr>
        <w:t xml:space="preserve">thuật - Kinh tế): Phần lớn các công trình trong nước chủ yếu khảo sát ở khối Kinh tế, Du lịch hoặc Ngoại ngữ (xem mục 4.1). Trong khi đó, IUH có quy mô lớn tại miền Nam với đặc thù tỷ trọng sinh viên khối Kỹ thuật - Công nghệ rất cao bên cạnh khối Kinh tế.</w:t>
      </w:r>
      <w:r>
        <w:rPr>
          <w:rFonts w:ascii="Times New Roman" w:hAnsi="Times New Roman" w:eastAsia="Times New Roman" w:cs="Times New Roman"/>
          <w:sz w:val="26"/>
          <w:szCs w:val="26"/>
        </w:rPr>
      </w:r>
    </w:p>
    <w:p w14:paraId="0000004D">
      <w:pPr>
        <w:numPr>
          <w:ilvl w:val="0"/>
          <w:numId w:val="7"/>
        </w:numPr>
        <w:pBdr/>
        <w:shd w:val="clear" w:color="auto" w:fill="ffffff"/>
        <w:spacing w:after="0" w:afterAutospacing="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Khoảng trống về hạ tầng công nghệ số và hệ thống đánh giá: Dù các nghiên cứu quốc tế đã đánh giá c</w:t>
      </w:r>
      <w:r>
        <w:rPr>
          <w:rFonts w:ascii="Times New Roman" w:hAnsi="Times New Roman" w:eastAsia="Times New Roman" w:cs="Times New Roman"/>
          <w:sz w:val="26"/>
          <w:szCs w:val="26"/>
          <w:rtl w:val="0"/>
        </w:rPr>
        <w:t xml:space="preserve">ao vai trò của CNTT và quy chế đánh giá, các nghiên cứu trong nước chưa phân tích sâu tác động từ việc sử dụng các nền tảng số (LMS, Google Workspace, MS Teams) cũng như quy chế đánh giá làm việc nhóm của nhà trường/giảng viên trong bối cảnh chuyển đổi số.</w:t>
      </w:r>
      <w:r>
        <w:rPr>
          <w:rFonts w:ascii="Times New Roman" w:hAnsi="Times New Roman" w:eastAsia="Times New Roman" w:cs="Times New Roman"/>
          <w:sz w:val="26"/>
          <w:szCs w:val="26"/>
        </w:rPr>
      </w:r>
    </w:p>
    <w:p w14:paraId="0000004E">
      <w:pPr>
        <w:numPr>
          <w:ilvl w:val="0"/>
          <w:numId w:val="7"/>
        </w:numPr>
        <w:pBdr/>
        <w:shd w:val="clear" w:color="auto" w:fill="ffffff"/>
        <w:spacing w:after="180" w:line="360" w:lineRule="auto"/>
        <w:ind w:hanging="360" w:left="72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Nhu cầu kiểm định mô hình lý thuyết tổng hợp: Nghiên cứu này n</w:t>
      </w:r>
      <w:r>
        <w:rPr>
          <w:rFonts w:ascii="Times New Roman" w:hAnsi="Times New Roman" w:eastAsia="Times New Roman" w:cs="Times New Roman"/>
          <w:sz w:val="26"/>
          <w:szCs w:val="26"/>
          <w:rtl w:val="0"/>
        </w:rPr>
        <w:t xml:space="preserve">hằm lấp đầy các khoảng trống trên bằng cách vận dụng khung mô hình IPO, chọn lọc các biến số đại diện cho cả 3 cấp độ (Cá nhân, Nội bộ nhóm và Môi trường nhà trường IUH) để cung cấp luận cứ khoa học và giải pháp thực tiễn phù hợp với đặc thù sinh viên IUH.</w:t>
      </w:r>
      <w:r>
        <w:rPr>
          <w:rFonts w:ascii="Times New Roman" w:hAnsi="Times New Roman" w:eastAsia="Times New Roman" w:cs="Times New Roman"/>
          <w:sz w:val="26"/>
          <w:szCs w:val="26"/>
        </w:rPr>
      </w:r>
    </w:p>
    <w:p w14:paraId="0000004F">
      <w:pPr>
        <w:pBdr/>
        <w:shd w:val="clear" w:color="auto" w:fill="ffffff"/>
        <w:spacing w:after="180" w:line="360" w:lineRule="auto"/>
        <w:ind/>
        <w:jc w:val="center"/>
        <w:rPr>
          <w:rFonts w:ascii="Times New Roman" w:hAnsi="Times New Roman" w:eastAsia="Times New Roman" w:cs="Times New Roman"/>
          <w:sz w:val="26"/>
          <w:szCs w:val="26"/>
        </w:rPr>
      </w:pPr>
      <w:r>
        <w:br w:type="page" w:clear="all"/>
      </w:r>
      <w:r>
        <w:rPr>
          <w:rFonts w:ascii="Times New Roman" w:hAnsi="Times New Roman" w:eastAsia="Times New Roman" w:cs="Times New Roman"/>
          <w:b/>
          <w:bCs/>
          <w:sz w:val="26"/>
          <w:szCs w:val="26"/>
          <w:rtl w:val="0"/>
        </w:rPr>
        <w:t xml:space="preserve">DANH MỤC TÀI LIỆU THAM KHẢO</w:t>
      </w:r>
      <w:r>
        <w:rPr>
          <w:rtl w:val="0"/>
        </w:rPr>
      </w:r>
      <w:r>
        <w:rPr>
          <w:rFonts w:ascii="Times New Roman" w:hAnsi="Times New Roman" w:eastAsia="Times New Roman" w:cs="Times New Roman"/>
          <w:sz w:val="26"/>
          <w:szCs w:val="26"/>
        </w:rPr>
      </w:r>
    </w:p>
    <w:p w14:paraId="0000005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Tài liệu tiếng Việt</w:t>
      </w:r>
      <w:r>
        <w:rPr>
          <w:rtl w:val="0"/>
        </w:rPr>
      </w:r>
      <w:r>
        <w:rPr>
          <w:rFonts w:ascii="Times New Roman" w:hAnsi="Times New Roman" w:eastAsia="Times New Roman" w:cs="Times New Roman"/>
          <w:sz w:val="26"/>
          <w:szCs w:val="26"/>
        </w:rPr>
      </w:r>
    </w:p>
    <w:p w14:paraId="00000051">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Đặng Thị Tuyết Ngọc, Lê Thị Thanh Giao, và Đoàn Khánh Hưng (2025). Các nhân tố ảnh hưởng tới hiệu quả làm việc nhóm của sinh viên Trường Du lịch - Đại học Huế. </w:t>
      </w:r>
      <w:r>
        <w:rPr>
          <w:rFonts w:ascii="Times New Roman" w:hAnsi="Times New Roman" w:eastAsia="Times New Roman" w:cs="Times New Roman"/>
          <w:i/>
          <w:iCs/>
          <w:sz w:val="26"/>
          <w:szCs w:val="26"/>
          <w:rtl w:val="0"/>
        </w:rPr>
        <w:t xml:space="preserve">Tạp chí Khoa học Tây Nguyên, 19</w:t>
      </w:r>
      <w:r>
        <w:rPr>
          <w:rFonts w:ascii="Times New Roman" w:hAnsi="Times New Roman" w:eastAsia="Times New Roman" w:cs="Times New Roman"/>
          <w:sz w:val="26"/>
          <w:szCs w:val="26"/>
          <w:rtl w:val="0"/>
        </w:rPr>
        <w:t xml:space="preserve">(2), 76-86. https://tnjos.vn/index.php/tckh/article/view/608</w:t>
      </w:r>
      <w:r>
        <w:rPr>
          <w:rFonts w:ascii="Times New Roman" w:hAnsi="Times New Roman" w:eastAsia="Times New Roman" w:cs="Times New Roman"/>
          <w:sz w:val="26"/>
          <w:szCs w:val="26"/>
        </w:rPr>
      </w:r>
    </w:p>
    <w:p w14:paraId="00000052">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Nguyễn Thị Thắng (2014). Yếu tố cá nhân và hiệu quả làm việc hợp tác trong học tập. </w:t>
      </w:r>
      <w:r>
        <w:rPr>
          <w:rFonts w:ascii="Times New Roman" w:hAnsi="Times New Roman" w:eastAsia="Times New Roman" w:cs="Times New Roman"/>
          <w:i/>
          <w:iCs/>
          <w:sz w:val="26"/>
          <w:szCs w:val="26"/>
          <w:rtl w:val="0"/>
        </w:rPr>
        <w:t xml:space="preserve">Tạp chí Khoa học ĐHQGHN: Nghiên cứu Nước ngoài</w:t>
      </w:r>
      <w:r>
        <w:rPr>
          <w:rFonts w:ascii="Times New Roman" w:hAnsi="Times New Roman" w:eastAsia="Times New Roman" w:cs="Times New Roman"/>
          <w:sz w:val="26"/>
          <w:szCs w:val="26"/>
          <w:rtl w:val="0"/>
        </w:rPr>
        <w:t xml:space="preserve">, 30(3), 47-52. https://jfs.ulis.vnu.edu.vn/index.php/fs/article/view/454</w:t>
      </w:r>
      <w:r>
        <w:rPr>
          <w:rFonts w:ascii="Times New Roman" w:hAnsi="Times New Roman" w:eastAsia="Times New Roman" w:cs="Times New Roman"/>
          <w:sz w:val="26"/>
          <w:szCs w:val="26"/>
        </w:rPr>
      </w:r>
    </w:p>
    <w:p w14:paraId="00000053">
      <w:pPr>
        <w:pBdr/>
        <w:spacing w:after="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Nguyễn Xuân Hưng, Đặng Ngọc Thảo, Nguyễn Thị Thu Trang, Nguyễn Thị Thắm, và Lê Hải Yến (2021). Các nhân tố ảnh hưởng tới hiệu quả làm việc nhóm của sinh viên trên địa bàn Thành phố Hà Nội, Việt Nam. </w:t>
      </w:r>
      <w:r>
        <w:rPr>
          <w:rFonts w:ascii="Times New Roman" w:hAnsi="Times New Roman" w:eastAsia="Times New Roman" w:cs="Times New Roman"/>
          <w:i/>
          <w:iCs/>
          <w:sz w:val="26"/>
          <w:szCs w:val="26"/>
          <w:rtl w:val="0"/>
        </w:rPr>
        <w:t xml:space="preserve">Tạp chí Khoa học và Đào tạo Ngân hàng</w:t>
      </w:r>
      <w:r>
        <w:rPr>
          <w:rFonts w:ascii="Times New Roman" w:hAnsi="Times New Roman" w:eastAsia="Times New Roman" w:cs="Times New Roman"/>
          <w:sz w:val="26"/>
          <w:szCs w:val="26"/>
          <w:rtl w:val="0"/>
        </w:rPr>
        <w:t xml:space="preserve">, (229), 50-64.</w:t>
      </w:r>
      <w:r>
        <w:rPr>
          <w:rFonts w:ascii="Times New Roman" w:hAnsi="Times New Roman" w:eastAsia="Times New Roman" w:cs="Times New Roman"/>
          <w:sz w:val="26"/>
          <w:szCs w:val="26"/>
        </w:rPr>
      </w:r>
    </w:p>
    <w:p w14:paraId="00000054">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https://hvnh.edu.vn/tapchi/vi/thang-6-21/nguyen-xuan-hung-dang-ngoc-thao-nguyen-thi-thu-trang-nguyen-thi-tham-le-hai-yen-cac-nhan-to-anh-huong-toi-hieu-qua-lam-viec-nhom-cua-sinh-vien-tren-dia-ban-thanh-pho-ha-noi-viet-nam-506.html</w:t>
      </w:r>
      <w:r>
        <w:rPr>
          <w:rFonts w:ascii="Times New Roman" w:hAnsi="Times New Roman" w:eastAsia="Times New Roman" w:cs="Times New Roman"/>
          <w:sz w:val="26"/>
          <w:szCs w:val="26"/>
        </w:rPr>
      </w:r>
    </w:p>
    <w:p w14:paraId="00000055">
      <w:pPr>
        <w:pBdr/>
        <w:spacing/>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Trần Thị Thùy (2018). Một số biện pháp nhằm tổ chức hiệu quả hoạt động làm việc nhóm của sinh viên. </w:t>
      </w:r>
      <w:r>
        <w:rPr>
          <w:rFonts w:ascii="Times New Roman" w:hAnsi="Times New Roman" w:eastAsia="Times New Roman" w:cs="Times New Roman"/>
          <w:i/>
          <w:iCs/>
          <w:sz w:val="26"/>
          <w:szCs w:val="26"/>
          <w:rtl w:val="0"/>
        </w:rPr>
        <w:t xml:space="preserve">Tạp chí Khoa học và Kinh tế phát triển</w:t>
      </w:r>
      <w:r>
        <w:rPr>
          <w:rFonts w:ascii="Times New Roman" w:hAnsi="Times New Roman" w:eastAsia="Times New Roman" w:cs="Times New Roman"/>
          <w:sz w:val="26"/>
          <w:szCs w:val="26"/>
          <w:rtl w:val="0"/>
        </w:rPr>
        <w:t xml:space="preserve">, (3), 3-8. https://jsde.nctu.edu.vn/jsde/article/view/29</w:t>
      </w:r>
      <w:r>
        <w:rPr>
          <w:rFonts w:ascii="Times New Roman" w:hAnsi="Times New Roman" w:eastAsia="Times New Roman" w:cs="Times New Roman"/>
          <w:sz w:val="26"/>
          <w:szCs w:val="26"/>
        </w:rPr>
      </w:r>
    </w:p>
    <w:p w14:paraId="00000056">
      <w:pPr>
        <w:pBdr/>
        <w:spacing/>
        <w:ind/>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 xml:space="preserve">Tài liệu tiếng Anh</w:t>
      </w:r>
      <w:r>
        <w:rPr>
          <w:rtl w:val="0"/>
        </w:rPr>
      </w:r>
      <w:r>
        <w:rPr>
          <w:rFonts w:ascii="Times New Roman" w:hAnsi="Times New Roman" w:eastAsia="Times New Roman" w:cs="Times New Roman"/>
          <w:sz w:val="26"/>
          <w:szCs w:val="26"/>
        </w:rPr>
      </w:r>
    </w:p>
    <w:p w14:paraId="00000057">
      <w:pPr>
        <w:pBdr/>
        <w:shd w:val="clear" w:color="auto" w:fill="ffffff"/>
        <w:spacing w:after="180"/>
        <w:ind/>
        <w:rPr>
          <w:rFonts w:ascii="Times New Roman" w:hAnsi="Times New Roman" w:eastAsia="Times New Roman" w:cs="Times New Roman"/>
          <w:i/>
          <w:iCs/>
          <w:sz w:val="26"/>
          <w:szCs w:val="26"/>
        </w:rPr>
      </w:pPr>
      <w:r>
        <w:rPr>
          <w:rFonts w:ascii="Times New Roman" w:hAnsi="Times New Roman" w:eastAsia="Times New Roman" w:cs="Times New Roman"/>
          <w:sz w:val="26"/>
          <w:szCs w:val="26"/>
          <w:rtl w:val="0"/>
        </w:rPr>
        <w:t xml:space="preserve">Caspersz, D., Wu, M., &amp; Skene, J. (2003). Factors influencing effective performance of university student teams. </w:t>
      </w:r>
      <w:r>
        <w:rPr>
          <w:rFonts w:ascii="Times New Roman" w:hAnsi="Times New Roman" w:eastAsia="Times New Roman" w:cs="Times New Roman"/>
          <w:i/>
          <w:iCs/>
          <w:sz w:val="26"/>
          <w:szCs w:val="26"/>
          <w:rtl w:val="0"/>
        </w:rPr>
        <w:t xml:space="preserve">Proceedings of the 26th HERDSA Annual Conference</w:t>
      </w:r>
      <w:r>
        <w:rPr>
          <w:rFonts w:ascii="Times New Roman" w:hAnsi="Times New Roman" w:eastAsia="Times New Roman" w:cs="Times New Roman"/>
          <w:sz w:val="26"/>
          <w:szCs w:val="26"/>
          <w:rtl w:val="0"/>
        </w:rPr>
        <w:t xml:space="preserve">, Christchurch, New Zeal&amp;, 71-80. </w:t>
      </w:r>
      <w:r>
        <w:rPr>
          <w:rtl w:val="0"/>
        </w:rPr>
      </w:r>
      <w:r>
        <w:rPr>
          <w:rFonts w:ascii="Times New Roman" w:hAnsi="Times New Roman" w:eastAsia="Times New Roman" w:cs="Times New Roman"/>
          <w:i/>
          <w:iCs/>
          <w:sz w:val="26"/>
          <w:szCs w:val="26"/>
        </w:rPr>
      </w:r>
    </w:p>
    <w:p w14:paraId="00000058">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De Prada, E., Mareque, M., &amp; Pino-Juste, M. (2022). Teamwork skills in higher education: is university training contributing to their mastery?. </w:t>
      </w:r>
      <w:r>
        <w:rPr>
          <w:rFonts w:ascii="Times New Roman" w:hAnsi="Times New Roman" w:eastAsia="Times New Roman" w:cs="Times New Roman"/>
          <w:i/>
          <w:iCs/>
          <w:sz w:val="26"/>
          <w:szCs w:val="26"/>
          <w:rtl w:val="0"/>
        </w:rPr>
        <w:t xml:space="preserve">Psicologia: Reflexão e Crítica</w:t>
      </w:r>
      <w:r>
        <w:rPr>
          <w:rFonts w:ascii="Times New Roman" w:hAnsi="Times New Roman" w:eastAsia="Times New Roman" w:cs="Times New Roman"/>
          <w:sz w:val="26"/>
          <w:szCs w:val="26"/>
          <w:rtl w:val="0"/>
        </w:rPr>
        <w:t xml:space="preserve">, 35(5), 1-13. https://doi.org/10.1186/s41155-022-00207-1</w:t>
      </w:r>
      <w:r>
        <w:rPr>
          <w:rFonts w:ascii="Times New Roman" w:hAnsi="Times New Roman" w:eastAsia="Times New Roman" w:cs="Times New Roman"/>
          <w:sz w:val="26"/>
          <w:szCs w:val="26"/>
        </w:rPr>
      </w:r>
    </w:p>
    <w:p w14:paraId="00000059">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D'Silva, J. L., &amp; Ahrari, S. (2016). Factors influencing team effectiveness in higher education. </w:t>
      </w:r>
      <w:r>
        <w:rPr>
          <w:rFonts w:ascii="Times New Roman" w:hAnsi="Times New Roman" w:eastAsia="Times New Roman" w:cs="Times New Roman"/>
          <w:i/>
          <w:iCs/>
          <w:sz w:val="26"/>
          <w:szCs w:val="26"/>
          <w:rtl w:val="0"/>
        </w:rPr>
        <w:t xml:space="preserve">American Journal of Applied Sciences</w:t>
      </w:r>
      <w:r>
        <w:rPr>
          <w:rFonts w:ascii="Times New Roman" w:hAnsi="Times New Roman" w:eastAsia="Times New Roman" w:cs="Times New Roman"/>
          <w:sz w:val="26"/>
          <w:szCs w:val="26"/>
          <w:rtl w:val="0"/>
        </w:rPr>
        <w:t xml:space="preserve">, 13(9), 932-940. https://doi.org/10.3844/ajassp.2016.932.940</w:t>
      </w:r>
      <w:r>
        <w:rPr>
          <w:rFonts w:ascii="Times New Roman" w:hAnsi="Times New Roman" w:eastAsia="Times New Roman" w:cs="Times New Roman"/>
          <w:sz w:val="26"/>
          <w:szCs w:val="26"/>
        </w:rPr>
      </w:r>
    </w:p>
    <w:p w14:paraId="0000005A">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Fathi, M., Ghobakhloo, M., &amp; Syberfeldt, A. (2019). An interpretive structural modeling of teamwork training in higher education. </w:t>
      </w:r>
      <w:r>
        <w:rPr>
          <w:rFonts w:ascii="Times New Roman" w:hAnsi="Times New Roman" w:eastAsia="Times New Roman" w:cs="Times New Roman"/>
          <w:i/>
          <w:iCs/>
          <w:sz w:val="26"/>
          <w:szCs w:val="26"/>
          <w:rtl w:val="0"/>
        </w:rPr>
        <w:t xml:space="preserve">Education Sciences</w:t>
      </w:r>
      <w:r>
        <w:rPr>
          <w:rFonts w:ascii="Times New Roman" w:hAnsi="Times New Roman" w:eastAsia="Times New Roman" w:cs="Times New Roman"/>
          <w:sz w:val="26"/>
          <w:szCs w:val="26"/>
          <w:rtl w:val="0"/>
        </w:rPr>
        <w:t xml:space="preserve">, 9(1), 16.  https://doi.org/10.3390/educsci9010016</w:t>
      </w:r>
      <w:r>
        <w:rPr>
          <w:rFonts w:ascii="Times New Roman" w:hAnsi="Times New Roman" w:eastAsia="Times New Roman" w:cs="Times New Roman"/>
          <w:sz w:val="26"/>
          <w:szCs w:val="26"/>
        </w:rPr>
      </w:r>
    </w:p>
    <w:p w14:paraId="0000005B">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Francis, N. J., Pritchard, C., Prytherch, Z., &amp; Rutherford, S. (2024). Making teamwork work: Enhancing teamwork &amp; assessment in higher education. </w:t>
      </w:r>
      <w:r>
        <w:rPr>
          <w:rFonts w:ascii="Times New Roman" w:hAnsi="Times New Roman" w:eastAsia="Times New Roman" w:cs="Times New Roman"/>
          <w:i/>
          <w:iCs/>
          <w:sz w:val="26"/>
          <w:szCs w:val="26"/>
          <w:rtl w:val="0"/>
        </w:rPr>
        <w:t xml:space="preserve">FEBS Open Bio</w:t>
      </w:r>
      <w:r>
        <w:rPr>
          <w:rFonts w:ascii="Times New Roman" w:hAnsi="Times New Roman" w:eastAsia="Times New Roman" w:cs="Times New Roman"/>
          <w:sz w:val="26"/>
          <w:szCs w:val="26"/>
          <w:rtl w:val="0"/>
        </w:rPr>
        <w:t xml:space="preserve">, 15(1), 35-47.  https://doi.org/10.1002/2211-5463.13936</w:t>
      </w:r>
      <w:r>
        <w:rPr>
          <w:rFonts w:ascii="Times New Roman" w:hAnsi="Times New Roman" w:eastAsia="Times New Roman" w:cs="Times New Roman"/>
          <w:sz w:val="26"/>
          <w:szCs w:val="26"/>
        </w:rPr>
      </w:r>
    </w:p>
    <w:p w14:paraId="0000005C">
      <w:pPr>
        <w:pBdr/>
        <w:shd w:val="clear" w:color="auto" w:fill="ffffff"/>
        <w:spacing w:after="180"/>
        <w:ind/>
        <w:rPr>
          <w:rFonts w:ascii="Times New Roman" w:hAnsi="Times New Roman" w:eastAsia="Times New Roman" w:cs="Times New Roman"/>
          <w:i/>
          <w:iCs/>
          <w:sz w:val="26"/>
          <w:szCs w:val="26"/>
        </w:rPr>
      </w:pPr>
      <w:r>
        <w:rPr>
          <w:rFonts w:ascii="Times New Roman" w:hAnsi="Times New Roman" w:eastAsia="Times New Roman" w:cs="Times New Roman"/>
          <w:sz w:val="26"/>
          <w:szCs w:val="26"/>
          <w:rtl w:val="0"/>
        </w:rPr>
        <w:t xml:space="preserve">Fransen, J. (2012). </w:t>
      </w:r>
      <w:r>
        <w:rPr>
          <w:rFonts w:ascii="Times New Roman" w:hAnsi="Times New Roman" w:eastAsia="Times New Roman" w:cs="Times New Roman"/>
          <w:i/>
          <w:iCs/>
          <w:sz w:val="26"/>
          <w:szCs w:val="26"/>
          <w:rtl w:val="0"/>
        </w:rPr>
        <w:t xml:space="preserve">Teaming up for learning: Team Effectiveness in Collaborative Learning in Higher Education</w:t>
      </w:r>
      <w:r>
        <w:rPr>
          <w:rFonts w:ascii="Times New Roman" w:hAnsi="Times New Roman" w:eastAsia="Times New Roman" w:cs="Times New Roman"/>
          <w:sz w:val="26"/>
          <w:szCs w:val="26"/>
          <w:rtl w:val="0"/>
        </w:rPr>
        <w:t xml:space="preserve"> (Doctoral dissertation). Open Universiteit, Centre for Learning Sciences &amp; Technologies, Heerlen, Netherl&amp;s. </w:t>
      </w:r>
      <w:r>
        <w:rPr>
          <w:rtl w:val="0"/>
        </w:rPr>
      </w:r>
      <w:r>
        <w:rPr>
          <w:rFonts w:ascii="Times New Roman" w:hAnsi="Times New Roman" w:eastAsia="Times New Roman" w:cs="Times New Roman"/>
          <w:i/>
          <w:iCs/>
          <w:sz w:val="26"/>
          <w:szCs w:val="26"/>
        </w:rPr>
      </w:r>
    </w:p>
    <w:p w14:paraId="0000005D">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Ilgen, D. R., Hollenbeck, J. R., Johnson, M., &amp; Jundt, D. (2005). Teams in organizations: From input-process-output models to IMOI models. </w:t>
      </w:r>
      <w:r>
        <w:rPr>
          <w:rFonts w:ascii="Times New Roman" w:hAnsi="Times New Roman" w:eastAsia="Times New Roman" w:cs="Times New Roman"/>
          <w:i/>
          <w:iCs/>
          <w:sz w:val="26"/>
          <w:szCs w:val="26"/>
          <w:rtl w:val="0"/>
        </w:rPr>
        <w:t xml:space="preserve">Annual Review of Psychology</w:t>
      </w:r>
      <w:r>
        <w:rPr>
          <w:rFonts w:ascii="Times New Roman" w:hAnsi="Times New Roman" w:eastAsia="Times New Roman" w:cs="Times New Roman"/>
          <w:sz w:val="26"/>
          <w:szCs w:val="26"/>
          <w:rtl w:val="0"/>
        </w:rPr>
        <w:t xml:space="preserve">, 56, 517-543.  https://doi.org/10.1146/annurev.psych.56.091103.070250</w:t>
      </w:r>
      <w:r>
        <w:rPr>
          <w:rFonts w:ascii="Times New Roman" w:hAnsi="Times New Roman" w:eastAsia="Times New Roman" w:cs="Times New Roman"/>
          <w:sz w:val="26"/>
          <w:szCs w:val="26"/>
        </w:rPr>
      </w:r>
    </w:p>
    <w:p w14:paraId="0000005E">
      <w:pPr>
        <w:pBdr/>
        <w:shd w:val="clear" w:color="auto" w:fill="ffffff"/>
        <w:spacing w:after="180"/>
        <w:ind/>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Katzenbach, J. R., &amp; Smith, D. K. (1993). </w:t>
      </w:r>
      <w:r>
        <w:rPr>
          <w:rFonts w:ascii="Times New Roman" w:hAnsi="Times New Roman" w:eastAsia="Times New Roman" w:cs="Times New Roman"/>
          <w:i/>
          <w:iCs/>
          <w:sz w:val="26"/>
          <w:szCs w:val="26"/>
          <w:rtl w:val="0"/>
        </w:rPr>
        <w:t xml:space="preserve">The wisdom of teams: Creating the high-performance organization</w:t>
      </w:r>
      <w:r>
        <w:rPr>
          <w:rFonts w:ascii="Times New Roman" w:hAnsi="Times New Roman" w:eastAsia="Times New Roman" w:cs="Times New Roman"/>
          <w:sz w:val="26"/>
          <w:szCs w:val="26"/>
          <w:rtl w:val="0"/>
        </w:rPr>
        <w:t xml:space="preserve">. Boston, MA: Harvard Business School Press</w:t>
      </w:r>
      <w:r>
        <w:rPr>
          <w:rFonts w:ascii="Times New Roman" w:hAnsi="Times New Roman" w:eastAsia="Times New Roman" w:cs="Times New Roman"/>
          <w:sz w:val="26"/>
          <w:szCs w:val="26"/>
        </w:rPr>
      </w:r>
    </w:p>
    <w:p w14:paraId="0000005F">
      <w:pPr>
        <w:pBdr/>
        <w:spacing/>
        <w:ind/>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Đánh giá kết quả làm việc nhóm cho từng thành viên</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bl>
      <w:tblPr>
        <w:tblStyle w:val="719"/>
        <w:tblInd w:w="540" w:type="dxa"/>
        <w:tblW w:w="8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765"/>
        <w:gridCol w:w="1320"/>
        <w:gridCol w:w="3060"/>
        <w:gridCol w:w="1515"/>
        <w:gridCol w:w="1050"/>
        <w:gridCol w:w="1020"/>
        <w:tblGridChange w:id="0">
          <w:tblGrid>
            <w:gridCol w:w="765"/>
            <w:gridCol w:w="1320"/>
            <w:gridCol w:w="3060"/>
            <w:gridCol w:w="1515"/>
            <w:gridCol w:w="1050"/>
            <w:gridCol w:w="1020"/>
          </w:tblGrid>
        </w:tblGridChange>
      </w:tblGrid>
      <w:tr>
        <w:trPr>
          <w:cantSplit w:val="false"/>
          <w:trHeight w:val="719"/>
        </w:trPr>
        <w:tc>
          <w:tcPr>
            <w:tcBorders/>
            <w:vAlign w:val="center"/>
          </w:tcPr>
          <w:p w14:paraId="0000006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STT</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MSSV</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Họ và Tên</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Vai trò</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Xếp loại</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Điểm</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1</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25744121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Trần Hữu Quốc Anh</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Nhóm trưởng</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6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6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2</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25734831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Trần Đặng Dũng</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6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7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3</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25738831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Lê Hồ Gia Băng</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7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4</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25724411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Lê Công Danh</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7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7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5</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7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25733531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Lê Nguyễn Hoàng Khang</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6</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25744991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Nguyễn Thị Anh Thư</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8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8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7</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25746291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Nguyễn Thanh Phú</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8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r>
        <w:trPr>
          <w:cantSplit w:val="false"/>
          <w:trHeight w:val="864"/>
        </w:trPr>
        <w:tc>
          <w:tcPr>
            <w:tcBorders/>
            <w:vAlign w:val="center"/>
          </w:tcPr>
          <w:p w14:paraId="0000009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i w:val="0"/>
                <w:iCs w:val="0"/>
                <w:smallCaps w:val="0"/>
                <w:strike w:val="0"/>
                <w:sz w:val="26"/>
                <w:szCs w:val="26"/>
                <w:u w:val="none"/>
                <w:shd w:val="clear" w:color="auto" w:fill="auto"/>
                <w:vertAlign w:val="baseline"/>
                <w:rtl w:val="0"/>
              </w:rPr>
              <w:t xml:space="preserve">8</w:t>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25727291</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Hà Thị Huyền Trân</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9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i w:val="0"/>
                <w:iCs w:val="0"/>
                <w:smallCaps w:val="0"/>
                <w:strike w:val="0"/>
                <w:sz w:val="26"/>
                <w:szCs w:val="26"/>
                <w:u w:val="none"/>
                <w:shd w:val="clear" w:color="auto" w:fill="auto"/>
                <w:vertAlign w:val="baseline"/>
              </w:rPr>
            </w:pPr>
            <w:r>
              <w:rPr>
                <w:rFonts w:ascii="Times New Roman" w:hAnsi="Times New Roman" w:eastAsia="Times New Roman" w:cs="Times New Roman"/>
                <w:i w:val="0"/>
                <w:iCs w:val="0"/>
                <w:smallCaps w:val="0"/>
                <w:strike w:val="0"/>
                <w:sz w:val="26"/>
                <w:szCs w:val="26"/>
                <w:u w:val="none"/>
                <w:shd w:val="clear" w:color="auto" w:fill="auto"/>
                <w:vertAlign w:val="baseline"/>
                <w:rtl w:val="0"/>
              </w:rPr>
              <w:t xml:space="preserve">Thành viên</w:t>
            </w:r>
            <w:r>
              <w:rPr>
                <w:rFonts w:ascii="Times New Roman" w:hAnsi="Times New Roman" w:eastAsia="Times New Roman" w:cs="Times New Roman"/>
                <w:i w:val="0"/>
                <w:iCs w:val="0"/>
                <w:smallCaps w:val="0"/>
                <w:strike w:val="0"/>
                <w:sz w:val="26"/>
                <w:szCs w:val="26"/>
                <w:u w:val="none"/>
                <w:shd w:val="clear" w:color="auto" w:fill="auto"/>
                <w:vertAlign w:val="baseline"/>
              </w:rPr>
            </w:r>
          </w:p>
        </w:tc>
        <w:tc>
          <w:tcPr>
            <w:tcBorders/>
            <w:vAlign w:val="center"/>
          </w:tcPr>
          <w:p w14:paraId="000000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center"/>
              <w:rPr>
                <w:rFonts w:ascii="Times New Roman" w:hAnsi="Times New Roman" w:eastAsia="Times New Roman" w:cs="Times New Roman"/>
                <w:b/>
                <w:bCs/>
                <w:i w:val="0"/>
                <w:iCs w:val="0"/>
                <w:smallCaps w:val="0"/>
                <w:strike w:val="0"/>
                <w:sz w:val="26"/>
                <w:szCs w:val="26"/>
                <w:u w:val="none"/>
                <w:shd w:val="clear" w:color="auto" w:fill="auto"/>
                <w:vertAlign w:val="baseline"/>
              </w:rPr>
            </w:pPr>
            <w:r>
              <w:rPr>
                <w:rFonts w:ascii="Times New Roman" w:hAnsi="Times New Roman" w:eastAsia="Times New Roman" w:cs="Times New Roman"/>
                <w:b/>
                <w:bCs/>
                <w:sz w:val="26"/>
                <w:szCs w:val="26"/>
                <w:rtl w:val="0"/>
              </w:rPr>
              <w:t xml:space="preserve">A</w:t>
            </w: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c>
          <w:tcPr>
            <w:tcBorders/>
            <w:vAlign w:val="center"/>
          </w:tcPr>
          <w:p w14:paraId="0000009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60" w:before="0" w:line="259" w:lineRule="auto"/>
              <w:ind w:right="0" w:firstLine="0" w:left="0"/>
              <w:jc w:val="left"/>
              <w:rPr>
                <w:rFonts w:ascii="Times New Roman" w:hAnsi="Times New Roman" w:eastAsia="Times New Roman" w:cs="Times New Roman"/>
                <w:b/>
                <w:bCs/>
                <w:i w:val="0"/>
                <w:iCs w:val="0"/>
                <w:smallCaps w:val="0"/>
                <w:strike w:val="0"/>
                <w:sz w:val="26"/>
                <w:szCs w:val="26"/>
                <w:u w:val="none"/>
                <w:shd w:val="clear" w:color="auto" w:fill="auto"/>
                <w:vertAlign w:val="baseline"/>
              </w:rPr>
            </w:pPr>
            <w:r>
              <w:rPr>
                <w:rtl w:val="0"/>
              </w:rPr>
            </w:r>
            <w:r>
              <w:rPr>
                <w:rFonts w:ascii="Times New Roman" w:hAnsi="Times New Roman" w:eastAsia="Times New Roman" w:cs="Times New Roman"/>
                <w:b/>
                <w:bCs/>
                <w:i w:val="0"/>
                <w:iCs w:val="0"/>
                <w:smallCaps w:val="0"/>
                <w:strike w:val="0"/>
                <w:sz w:val="26"/>
                <w:szCs w:val="26"/>
                <w:u w:val="none"/>
                <w:shd w:val="clear" w:color="auto" w:fill="auto"/>
                <w:vertAlign w:val="baseline"/>
              </w:rPr>
            </w:r>
          </w:p>
        </w:tc>
      </w:tr>
    </w:tbl>
    <w:p w14:paraId="00000096">
      <w:pPr>
        <w:pBdr/>
        <w:spacing/>
        <w:ind/>
        <w:rPr>
          <w:rFonts w:ascii="Times New Roman" w:hAnsi="Times New Roman" w:eastAsia="Times New Roman" w:cs="Times New Roman"/>
          <w:sz w:val="26"/>
          <w:szCs w:val="26"/>
        </w:rPr>
      </w:pPr>
      <w:r>
        <w:rPr>
          <w:rtl w:val="0"/>
        </w:rPr>
      </w:r>
      <w:r>
        <w:rPr>
          <w:rFonts w:ascii="Times New Roman" w:hAnsi="Times New Roman" w:eastAsia="Times New Roman" w:cs="Times New Roman"/>
          <w:sz w:val="26"/>
          <w:szCs w:val="26"/>
        </w:rPr>
      </w:r>
    </w:p>
    <w:sectPr>
      <w:headerReference w:type="default" r:id="rId9"/>
      <w:footerReference w:type="default" r:id="rId10"/>
      <w:footnotePr/>
      <w:endnotePr/>
      <w:type w:val="nextPage"/>
      <w:pgSz w:h="15840" w:orient="portrait" w:w="12240"/>
      <w:pgMar w:top="1133" w:right="1133" w:bottom="1133" w:left="1417"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40502050405020303"/>
  </w:font>
  <w:font w:name="TimesNew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98">
    <w:pPr>
      <w:pBdr/>
      <w:spacing/>
      <w:ind/>
      <w:jc w:val="center"/>
      <w:rPr>
        <w:rFonts w:ascii="Times New Roman" w:hAnsi="Times New Roman" w:eastAsia="Times New Roman" w:cs="Times New Roman"/>
        <w:b/>
        <w:bCs/>
        <w:i/>
        <w:iCs/>
        <w:sz w:val="26"/>
        <w:szCs w:val="26"/>
      </w:rPr>
    </w:pPr>
    <w:r>
      <w:rPr>
        <w:rFonts w:ascii="Times New Roman" w:hAnsi="Times New Roman" w:eastAsia="Times New Roman" w:cs="Times New Roman"/>
        <w:b/>
        <w:bCs/>
        <w:i/>
        <w:iCs/>
        <w:sz w:val="26"/>
        <w:szCs w:val="26"/>
      </w:rPr>
      <w:fldChar w:fldCharType="begin"/>
      <w:instrText xml:space="preserve">PAGE</w:instrText>
      <w:fldChar w:fldCharType="separate"/>
      <w:fldChar w:fldCharType="end"/>
    </w:r>
    <w:r>
      <w:rPr>
        <w:rtl w:val="0"/>
      </w:rPr>
    </w:r>
    <w:r>
      <w:rPr>
        <w:rFonts w:ascii="Times New Roman" w:hAnsi="Times New Roman" w:eastAsia="Times New Roman" w:cs="Times New Roman"/>
        <w:b/>
        <w:bCs/>
        <w:i/>
        <w:iCs/>
        <w:sz w:val="26"/>
        <w:szCs w:val="2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97">
    <w:pPr>
      <w:pBdr/>
      <w:spacing/>
      <w:ind/>
      <w:rPr/>
    </w:pPr>
    <w:r>
      <w:rPr>
        <w:rtl w:val="0"/>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rFonts w:ascii="Times New Roman" w:hAnsi="Times New Roman" w:eastAsia="Times New Roman" w:cs="Times New Roman"/>
        <w:b/>
        <w:bCs/>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left"/>
      <w:lvlText w:val="%1."/>
      <w:numFmt w:val="decimal"/>
      <w:pPr>
        <w:pBdr/>
        <w:spacing/>
        <w:ind w:hanging="360" w:left="1440"/>
      </w:pPr>
      <w:rPr>
        <w:u w:val="none"/>
      </w:rPr>
      <w:start w:val="1"/>
      <w:suff w:val="tab"/>
    </w:lvl>
    <w:lvl w:ilvl="1">
      <w:isLgl w:val="false"/>
      <w:lvlJc w:val="left"/>
      <w:lvlText w:val="%2."/>
      <w:numFmt w:val="lowerLetter"/>
      <w:pPr>
        <w:pBdr/>
        <w:spacing/>
        <w:ind w:hanging="360" w:left="2160"/>
      </w:pPr>
      <w:rPr>
        <w:rFonts w:ascii="Arial" w:hAnsi="Arial" w:eastAsia="Arial" w:cs="Arial"/>
        <w:b/>
        <w:bCs/>
        <w:u w:val="none"/>
      </w:rPr>
      <w:start w:val="1"/>
      <w:suff w:val="tab"/>
    </w:lvl>
    <w:lvl w:ilvl="2">
      <w:isLgl w:val="false"/>
      <w:lvlJc w:val="right"/>
      <w:lvlText w:val="%3."/>
      <w:numFmt w:val="lowerRoman"/>
      <w:pPr>
        <w:pBdr/>
        <w:spacing/>
        <w:ind w:hanging="360" w:left="2880"/>
      </w:pPr>
      <w:rPr>
        <w:u w:val="none"/>
      </w:rPr>
      <w:start w:val="1"/>
      <w:suff w:val="tab"/>
    </w:lvl>
    <w:lvl w:ilvl="3">
      <w:isLgl w:val="false"/>
      <w:lvlJc w:val="left"/>
      <w:lvlText w:val="%4."/>
      <w:numFmt w:val="decimal"/>
      <w:pPr>
        <w:pBdr/>
        <w:spacing/>
        <w:ind w:hanging="360" w:left="3600"/>
      </w:pPr>
      <w:rPr>
        <w:u w:val="none"/>
      </w:rPr>
      <w:start w:val="1"/>
      <w:suff w:val="tab"/>
    </w:lvl>
    <w:lvl w:ilvl="4">
      <w:isLgl w:val="false"/>
      <w:lvlJc w:val="left"/>
      <w:lvlText w:val="%5."/>
      <w:numFmt w:val="lowerLetter"/>
      <w:pPr>
        <w:pBdr/>
        <w:spacing/>
        <w:ind w:hanging="360" w:left="4320"/>
      </w:pPr>
      <w:rPr>
        <w:u w:val="none"/>
      </w:rPr>
      <w:start w:val="1"/>
      <w:suff w:val="tab"/>
    </w:lvl>
    <w:lvl w:ilvl="5">
      <w:isLgl w:val="false"/>
      <w:lvlJc w:val="right"/>
      <w:lvlText w:val="%6."/>
      <w:numFmt w:val="lowerRoman"/>
      <w:pPr>
        <w:pBdr/>
        <w:spacing/>
        <w:ind w:hanging="360" w:left="5040"/>
      </w:pPr>
      <w:rPr>
        <w:u w:val="none"/>
      </w:rPr>
      <w:start w:val="1"/>
      <w:suff w:val="tab"/>
    </w:lvl>
    <w:lvl w:ilvl="6">
      <w:isLgl w:val="false"/>
      <w:lvlJc w:val="left"/>
      <w:lvlText w:val="%7."/>
      <w:numFmt w:val="decimal"/>
      <w:pPr>
        <w:pBdr/>
        <w:spacing/>
        <w:ind w:hanging="360" w:left="5760"/>
      </w:pPr>
      <w:rPr>
        <w:u w:val="none"/>
      </w:rPr>
      <w:start w:val="1"/>
      <w:suff w:val="tab"/>
    </w:lvl>
    <w:lvl w:ilvl="7">
      <w:isLgl w:val="false"/>
      <w:lvlJc w:val="left"/>
      <w:lvlText w:val="%8."/>
      <w:numFmt w:val="lowerLetter"/>
      <w:pPr>
        <w:pBdr/>
        <w:spacing/>
        <w:ind w:hanging="360" w:left="6480"/>
      </w:pPr>
      <w:rPr>
        <w:u w:val="none"/>
      </w:rPr>
      <w:start w:val="1"/>
      <w:suff w:val="tab"/>
    </w:lvl>
    <w:lvl w:ilvl="8">
      <w:isLgl w:val="false"/>
      <w:lvlJc w:val="right"/>
      <w:lvlText w:val="%9."/>
      <w:numFmt w:val="lowerRoman"/>
      <w:pPr>
        <w:pBdr/>
        <w:spacing/>
        <w:ind w:hanging="360" w:left="720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4">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900"/>
      </w:pPr>
      <w:rPr/>
      <w:start w:val="1"/>
      <w:suff w:val="tab"/>
    </w:lvl>
    <w:lvl w:ilvl="2">
      <w:isLgl w:val="false"/>
      <w:lvlJc w:val="left"/>
      <w:lvlText w:val="%1.%2.%3."/>
      <w:numFmt w:val="decimal"/>
      <w:pPr>
        <w:pBdr/>
        <w:spacing/>
        <w:ind w:hanging="720" w:left="1440"/>
      </w:pPr>
      <w:rPr/>
      <w:start w:val="1"/>
      <w:suff w:val="tab"/>
    </w:lvl>
    <w:lvl w:ilvl="3">
      <w:isLgl w:val="false"/>
      <w:lvlJc w:val="left"/>
      <w:lvlText w:val="%1.%2.%3.%4."/>
      <w:numFmt w:val="decimal"/>
      <w:pPr>
        <w:pBdr/>
        <w:spacing/>
        <w:ind w:hanging="720" w:left="1620"/>
      </w:pPr>
      <w:rPr/>
      <w:start w:val="1"/>
      <w:suff w:val="tab"/>
    </w:lvl>
    <w:lvl w:ilvl="4">
      <w:isLgl w:val="false"/>
      <w:lvlJc w:val="left"/>
      <w:lvlText w:val="%1.%2.%3.%4.%5."/>
      <w:numFmt w:val="decimal"/>
      <w:pPr>
        <w:pBdr/>
        <w:spacing/>
        <w:ind w:hanging="1080" w:left="2160"/>
      </w:pPr>
      <w:rPr/>
      <w:start w:val="1"/>
      <w:suff w:val="tab"/>
    </w:lvl>
    <w:lvl w:ilvl="5">
      <w:isLgl w:val="false"/>
      <w:lvlJc w:val="left"/>
      <w:lvlText w:val="%1.%2.%3.%4.%5.%6."/>
      <w:numFmt w:val="decimal"/>
      <w:pPr>
        <w:pBdr/>
        <w:spacing/>
        <w:ind w:hanging="1080" w:left="2340"/>
      </w:pPr>
      <w:rPr/>
      <w:start w:val="1"/>
      <w:suff w:val="tab"/>
    </w:lvl>
    <w:lvl w:ilvl="6">
      <w:isLgl w:val="false"/>
      <w:lvlJc w:val="left"/>
      <w:lvlText w:val="%1.%2.%3.%4.%5.%6.%7."/>
      <w:numFmt w:val="decimal"/>
      <w:pPr>
        <w:pBdr/>
        <w:spacing/>
        <w:ind w:hanging="1440" w:left="2880"/>
      </w:pPr>
      <w:rPr/>
      <w:start w:val="1"/>
      <w:suff w:val="tab"/>
    </w:lvl>
    <w:lvl w:ilvl="7">
      <w:isLgl w:val="false"/>
      <w:lvlJc w:val="left"/>
      <w:lvlText w:val="%1.%2.%3.%4.%5.%6.%7.%8."/>
      <w:numFmt w:val="decimal"/>
      <w:pPr>
        <w:pBdr/>
        <w:spacing/>
        <w:ind w:hanging="1440" w:left="3060"/>
      </w:pPr>
      <w:rPr/>
      <w:start w:val="1"/>
      <w:suff w:val="tab"/>
    </w:lvl>
    <w:lvl w:ilvl="8">
      <w:isLgl w:val="false"/>
      <w:lvlJc w:val="left"/>
      <w:lvlText w:val="%1.%2.%3.%4.%5.%6.%7.%8.%9."/>
      <w:numFmt w:val="decimal"/>
      <w:pPr>
        <w:pBdr/>
        <w:spacing/>
        <w:ind w:hanging="1800" w:left="3600"/>
      </w:pPr>
      <w:rPr/>
      <w:start w:val="1"/>
      <w:suff w:val="tab"/>
    </w:lvl>
  </w:abstractNum>
  <w:abstractNum w:abstractNumId="5">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6">
    <w:lvl w:ilvl="0">
      <w:isLgl w:val="false"/>
      <w:lvlJc w:val="left"/>
      <w:lvlText w:val="%1."/>
      <w:numFmt w:val="decimal"/>
      <w:pPr>
        <w:pBdr/>
        <w:spacing/>
        <w:ind w:hanging="360" w:left="720"/>
      </w:pPr>
      <w:rPr>
        <w:rFonts w:ascii="Arial" w:hAnsi="Arial" w:eastAsia="Arial" w:cs="Arial"/>
        <w:b/>
        <w:bCs/>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7">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 w:eastAsia="zh-C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2"/>
    <w:next w:val="702"/>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2"/>
    <w:next w:val="702"/>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2"/>
    <w:next w:val="702"/>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10"/>
    <w:link w:val="703"/>
    <w:uiPriority w:val="9"/>
    <w:pPr>
      <w:pBdr/>
      <w:spacing/>
      <w:ind/>
    </w:pPr>
    <w:rPr>
      <w:rFonts w:ascii="Arial" w:hAnsi="Arial" w:eastAsia="Arial" w:cs="Arial"/>
      <w:color w:val="0f4761" w:themeColor="accent1" w:themeShade="BF"/>
      <w:sz w:val="40"/>
      <w:szCs w:val="40"/>
    </w:rPr>
  </w:style>
  <w:style w:type="character" w:styleId="151">
    <w:name w:val="Heading 2 Char"/>
    <w:basedOn w:val="710"/>
    <w:link w:val="704"/>
    <w:uiPriority w:val="9"/>
    <w:pPr>
      <w:pBdr/>
      <w:spacing/>
      <w:ind/>
    </w:pPr>
    <w:rPr>
      <w:rFonts w:ascii="Arial" w:hAnsi="Arial" w:eastAsia="Arial" w:cs="Arial"/>
      <w:color w:val="0f4761" w:themeColor="accent1" w:themeShade="BF"/>
      <w:sz w:val="32"/>
      <w:szCs w:val="32"/>
    </w:rPr>
  </w:style>
  <w:style w:type="character" w:styleId="152">
    <w:name w:val="Heading 3 Char"/>
    <w:basedOn w:val="710"/>
    <w:link w:val="705"/>
    <w:uiPriority w:val="9"/>
    <w:pPr>
      <w:pBdr/>
      <w:spacing/>
      <w:ind/>
    </w:pPr>
    <w:rPr>
      <w:rFonts w:ascii="Arial" w:hAnsi="Arial" w:eastAsia="Arial" w:cs="Arial"/>
      <w:color w:val="0f4761" w:themeColor="accent1" w:themeShade="BF"/>
      <w:sz w:val="28"/>
      <w:szCs w:val="28"/>
    </w:rPr>
  </w:style>
  <w:style w:type="character" w:styleId="153">
    <w:name w:val="Heading 4 Char"/>
    <w:basedOn w:val="710"/>
    <w:link w:val="706"/>
    <w:uiPriority w:val="9"/>
    <w:pPr>
      <w:pBdr/>
      <w:spacing/>
      <w:ind/>
    </w:pPr>
    <w:rPr>
      <w:rFonts w:ascii="Arial" w:hAnsi="Arial" w:eastAsia="Arial" w:cs="Arial"/>
      <w:i/>
      <w:iCs/>
      <w:color w:val="0f4761" w:themeColor="accent1" w:themeShade="BF"/>
    </w:rPr>
  </w:style>
  <w:style w:type="character" w:styleId="154">
    <w:name w:val="Heading 5 Char"/>
    <w:basedOn w:val="710"/>
    <w:link w:val="707"/>
    <w:uiPriority w:val="9"/>
    <w:pPr>
      <w:pBdr/>
      <w:spacing/>
      <w:ind/>
    </w:pPr>
    <w:rPr>
      <w:rFonts w:ascii="Arial" w:hAnsi="Arial" w:eastAsia="Arial" w:cs="Arial"/>
      <w:color w:val="0f4761" w:themeColor="accent1" w:themeShade="BF"/>
    </w:rPr>
  </w:style>
  <w:style w:type="character" w:styleId="155">
    <w:name w:val="Heading 6 Char"/>
    <w:basedOn w:val="710"/>
    <w:link w:val="708"/>
    <w:uiPriority w:val="9"/>
    <w:pPr>
      <w:pBdr/>
      <w:spacing/>
      <w:ind/>
    </w:pPr>
    <w:rPr>
      <w:rFonts w:ascii="Arial" w:hAnsi="Arial" w:eastAsia="Arial" w:cs="Arial"/>
      <w:i/>
      <w:iCs/>
      <w:color w:val="595959" w:themeColor="text1" w:themeTint="A6"/>
    </w:rPr>
  </w:style>
  <w:style w:type="character" w:styleId="156">
    <w:name w:val="Heading 7 Char"/>
    <w:basedOn w:val="710"/>
    <w:link w:val="145"/>
    <w:uiPriority w:val="9"/>
    <w:pPr>
      <w:pBdr/>
      <w:spacing/>
      <w:ind/>
    </w:pPr>
    <w:rPr>
      <w:rFonts w:ascii="Arial" w:hAnsi="Arial" w:eastAsia="Arial" w:cs="Arial"/>
      <w:color w:val="595959" w:themeColor="text1" w:themeTint="A6"/>
    </w:rPr>
  </w:style>
  <w:style w:type="character" w:styleId="157">
    <w:name w:val="Heading 8 Char"/>
    <w:basedOn w:val="710"/>
    <w:link w:val="146"/>
    <w:uiPriority w:val="9"/>
    <w:pPr>
      <w:pBdr/>
      <w:spacing/>
      <w:ind/>
    </w:pPr>
    <w:rPr>
      <w:rFonts w:ascii="Arial" w:hAnsi="Arial" w:eastAsia="Arial" w:cs="Arial"/>
      <w:i/>
      <w:iCs/>
      <w:color w:val="272727" w:themeColor="text1" w:themeTint="D8"/>
    </w:rPr>
  </w:style>
  <w:style w:type="character" w:styleId="158">
    <w:name w:val="Heading 9 Char"/>
    <w:basedOn w:val="710"/>
    <w:link w:val="147"/>
    <w:uiPriority w:val="9"/>
    <w:pPr>
      <w:pBdr/>
      <w:spacing/>
      <w:ind/>
    </w:pPr>
    <w:rPr>
      <w:rFonts w:ascii="Arial" w:hAnsi="Arial" w:eastAsia="Arial" w:cs="Arial"/>
      <w:i/>
      <w:iCs/>
      <w:color w:val="272727" w:themeColor="text1" w:themeTint="D8"/>
    </w:rPr>
  </w:style>
  <w:style w:type="character" w:styleId="160">
    <w:name w:val="Title Char"/>
    <w:basedOn w:val="710"/>
    <w:link w:val="709"/>
    <w:uiPriority w:val="10"/>
    <w:pPr>
      <w:pBdr/>
      <w:spacing/>
      <w:ind/>
    </w:pPr>
    <w:rPr>
      <w:rFonts w:ascii="Arial" w:hAnsi="Arial" w:eastAsia="Arial" w:cs="Arial"/>
      <w:spacing w:val="-10"/>
      <w:sz w:val="56"/>
      <w:szCs w:val="56"/>
    </w:rPr>
  </w:style>
  <w:style w:type="character" w:styleId="162">
    <w:name w:val="Subtitle Char"/>
    <w:basedOn w:val="710"/>
    <w:link w:val="718"/>
    <w:uiPriority w:val="11"/>
    <w:pPr>
      <w:pBdr/>
      <w:spacing/>
      <w:ind/>
    </w:pPr>
    <w:rPr>
      <w:color w:val="595959" w:themeColor="text1" w:themeTint="A6"/>
      <w:spacing w:val="15"/>
      <w:sz w:val="28"/>
      <w:szCs w:val="28"/>
    </w:rPr>
  </w:style>
  <w:style w:type="paragraph" w:styleId="163">
    <w:name w:val="Quote"/>
    <w:basedOn w:val="702"/>
    <w:next w:val="702"/>
    <w:link w:val="164"/>
    <w:uiPriority w:val="29"/>
    <w:qFormat/>
    <w:pPr>
      <w:pBdr/>
      <w:spacing w:before="160"/>
      <w:ind/>
      <w:jc w:val="center"/>
    </w:pPr>
    <w:rPr>
      <w:i/>
      <w:iCs/>
      <w:color w:val="404040" w:themeColor="text1" w:themeTint="BF"/>
    </w:rPr>
  </w:style>
  <w:style w:type="character" w:styleId="164">
    <w:name w:val="Quote Char"/>
    <w:basedOn w:val="710"/>
    <w:link w:val="163"/>
    <w:uiPriority w:val="29"/>
    <w:pPr>
      <w:pBdr/>
      <w:spacing/>
      <w:ind/>
    </w:pPr>
    <w:rPr>
      <w:i/>
      <w:iCs/>
      <w:color w:val="404040" w:themeColor="text1" w:themeTint="BF"/>
    </w:rPr>
  </w:style>
  <w:style w:type="character" w:styleId="166">
    <w:name w:val="Intense Emphasis"/>
    <w:basedOn w:val="710"/>
    <w:uiPriority w:val="21"/>
    <w:qFormat/>
    <w:pPr>
      <w:pBdr/>
      <w:spacing/>
      <w:ind/>
    </w:pPr>
    <w:rPr>
      <w:i/>
      <w:iCs/>
      <w:color w:val="0f4761" w:themeColor="accent1" w:themeShade="BF"/>
    </w:rPr>
  </w:style>
  <w:style w:type="paragraph" w:styleId="167">
    <w:name w:val="Intense Quote"/>
    <w:basedOn w:val="702"/>
    <w:next w:val="702"/>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0"/>
    <w:link w:val="167"/>
    <w:uiPriority w:val="30"/>
    <w:pPr>
      <w:pBdr/>
      <w:spacing/>
      <w:ind/>
    </w:pPr>
    <w:rPr>
      <w:i/>
      <w:iCs/>
      <w:color w:val="0f4761" w:themeColor="accent1" w:themeShade="BF"/>
    </w:rPr>
  </w:style>
  <w:style w:type="character" w:styleId="169">
    <w:name w:val="Intense Reference"/>
    <w:basedOn w:val="710"/>
    <w:uiPriority w:val="32"/>
    <w:qFormat/>
    <w:pPr>
      <w:pBdr/>
      <w:spacing/>
      <w:ind/>
    </w:pPr>
    <w:rPr>
      <w:b/>
      <w:bCs/>
      <w:smallCaps/>
      <w:color w:val="0f4761" w:themeColor="accent1" w:themeShade="BF"/>
      <w:spacing w:val="5"/>
    </w:rPr>
  </w:style>
  <w:style w:type="paragraph" w:styleId="170">
    <w:name w:val="No Spacing"/>
    <w:basedOn w:val="702"/>
    <w:uiPriority w:val="1"/>
    <w:qFormat/>
    <w:pPr>
      <w:pBdr/>
      <w:spacing w:after="0" w:line="240" w:lineRule="auto"/>
      <w:ind/>
    </w:pPr>
  </w:style>
  <w:style w:type="character" w:styleId="171">
    <w:name w:val="Subtle Emphasis"/>
    <w:basedOn w:val="710"/>
    <w:uiPriority w:val="19"/>
    <w:qFormat/>
    <w:pPr>
      <w:pBdr/>
      <w:spacing/>
      <w:ind/>
    </w:pPr>
    <w:rPr>
      <w:i/>
      <w:iCs/>
      <w:color w:val="404040" w:themeColor="text1" w:themeTint="BF"/>
    </w:rPr>
  </w:style>
  <w:style w:type="character" w:styleId="172">
    <w:name w:val="Emphasis"/>
    <w:basedOn w:val="710"/>
    <w:uiPriority w:val="20"/>
    <w:qFormat/>
    <w:pPr>
      <w:pBdr/>
      <w:spacing/>
      <w:ind/>
    </w:pPr>
    <w:rPr>
      <w:i/>
      <w:iCs/>
    </w:rPr>
  </w:style>
  <w:style w:type="character" w:styleId="173">
    <w:name w:val="Strong"/>
    <w:basedOn w:val="710"/>
    <w:uiPriority w:val="22"/>
    <w:qFormat/>
    <w:pPr>
      <w:pBdr/>
      <w:spacing/>
      <w:ind/>
    </w:pPr>
    <w:rPr>
      <w:b/>
      <w:bCs/>
    </w:rPr>
  </w:style>
  <w:style w:type="character" w:styleId="174">
    <w:name w:val="Subtle Reference"/>
    <w:basedOn w:val="710"/>
    <w:uiPriority w:val="31"/>
    <w:qFormat/>
    <w:pPr>
      <w:pBdr/>
      <w:spacing/>
      <w:ind/>
    </w:pPr>
    <w:rPr>
      <w:smallCaps/>
      <w:color w:val="5a5a5a" w:themeColor="text1" w:themeTint="A5"/>
    </w:rPr>
  </w:style>
  <w:style w:type="character" w:styleId="175">
    <w:name w:val="Book Title"/>
    <w:basedOn w:val="710"/>
    <w:uiPriority w:val="33"/>
    <w:qFormat/>
    <w:pPr>
      <w:pBdr/>
      <w:spacing/>
      <w:ind/>
    </w:pPr>
    <w:rPr>
      <w:b/>
      <w:bCs/>
      <w:i/>
      <w:iCs/>
      <w:spacing w:val="5"/>
    </w:rPr>
  </w:style>
  <w:style w:type="paragraph" w:styleId="176">
    <w:name w:val="Header"/>
    <w:basedOn w:val="702"/>
    <w:link w:val="177"/>
    <w:uiPriority w:val="99"/>
    <w:unhideWhenUsed/>
    <w:pPr>
      <w:pBdr/>
      <w:tabs>
        <w:tab w:val="center" w:leader="none" w:pos="4844"/>
        <w:tab w:val="right" w:leader="none" w:pos="9689"/>
      </w:tabs>
      <w:spacing w:after="0" w:line="240" w:lineRule="auto"/>
      <w:ind/>
    </w:pPr>
  </w:style>
  <w:style w:type="character" w:styleId="177">
    <w:name w:val="Header Char"/>
    <w:basedOn w:val="710"/>
    <w:link w:val="176"/>
    <w:uiPriority w:val="99"/>
    <w:pPr>
      <w:pBdr/>
      <w:spacing/>
      <w:ind/>
    </w:pPr>
  </w:style>
  <w:style w:type="paragraph" w:styleId="178">
    <w:name w:val="Footer"/>
    <w:basedOn w:val="702"/>
    <w:link w:val="179"/>
    <w:uiPriority w:val="99"/>
    <w:unhideWhenUsed/>
    <w:pPr>
      <w:pBdr/>
      <w:tabs>
        <w:tab w:val="center" w:leader="none" w:pos="4844"/>
        <w:tab w:val="right" w:leader="none" w:pos="9689"/>
      </w:tabs>
      <w:spacing w:after="0" w:line="240" w:lineRule="auto"/>
      <w:ind/>
    </w:pPr>
  </w:style>
  <w:style w:type="character" w:styleId="179">
    <w:name w:val="Footer Char"/>
    <w:basedOn w:val="710"/>
    <w:link w:val="178"/>
    <w:uiPriority w:val="99"/>
    <w:pPr>
      <w:pBdr/>
      <w:spacing/>
      <w:ind/>
    </w:pPr>
  </w:style>
  <w:style w:type="paragraph" w:styleId="180">
    <w:name w:val="Caption"/>
    <w:basedOn w:val="702"/>
    <w:next w:val="702"/>
    <w:uiPriority w:val="35"/>
    <w:unhideWhenUsed/>
    <w:qFormat/>
    <w:pPr>
      <w:pBdr/>
      <w:spacing w:after="200" w:line="240" w:lineRule="auto"/>
      <w:ind/>
    </w:pPr>
    <w:rPr>
      <w:i/>
      <w:iCs/>
      <w:color w:val="0e2841" w:themeColor="text2"/>
      <w:sz w:val="18"/>
      <w:szCs w:val="18"/>
    </w:rPr>
  </w:style>
  <w:style w:type="paragraph" w:styleId="181">
    <w:name w:val="footnote text"/>
    <w:basedOn w:val="702"/>
    <w:link w:val="182"/>
    <w:uiPriority w:val="99"/>
    <w:semiHidden/>
    <w:unhideWhenUsed/>
    <w:pPr>
      <w:pBdr/>
      <w:spacing w:after="0" w:line="240" w:lineRule="auto"/>
      <w:ind/>
    </w:pPr>
    <w:rPr>
      <w:sz w:val="20"/>
      <w:szCs w:val="20"/>
    </w:rPr>
  </w:style>
  <w:style w:type="character" w:styleId="182">
    <w:name w:val="Footnote Text Char"/>
    <w:basedOn w:val="710"/>
    <w:link w:val="181"/>
    <w:uiPriority w:val="99"/>
    <w:semiHidden/>
    <w:pPr>
      <w:pBdr/>
      <w:spacing/>
      <w:ind/>
    </w:pPr>
    <w:rPr>
      <w:sz w:val="20"/>
      <w:szCs w:val="20"/>
    </w:rPr>
  </w:style>
  <w:style w:type="character" w:styleId="183">
    <w:name w:val="footnote reference"/>
    <w:basedOn w:val="710"/>
    <w:uiPriority w:val="99"/>
    <w:semiHidden/>
    <w:unhideWhenUsed/>
    <w:pPr>
      <w:pBdr/>
      <w:spacing/>
      <w:ind/>
    </w:pPr>
    <w:rPr>
      <w:vertAlign w:val="superscript"/>
    </w:rPr>
  </w:style>
  <w:style w:type="paragraph" w:styleId="184">
    <w:name w:val="endnote text"/>
    <w:basedOn w:val="702"/>
    <w:link w:val="185"/>
    <w:uiPriority w:val="99"/>
    <w:semiHidden/>
    <w:unhideWhenUsed/>
    <w:pPr>
      <w:pBdr/>
      <w:spacing w:after="0" w:line="240" w:lineRule="auto"/>
      <w:ind/>
    </w:pPr>
    <w:rPr>
      <w:sz w:val="20"/>
      <w:szCs w:val="20"/>
    </w:rPr>
  </w:style>
  <w:style w:type="character" w:styleId="185">
    <w:name w:val="Endnote Text Char"/>
    <w:basedOn w:val="710"/>
    <w:link w:val="184"/>
    <w:uiPriority w:val="99"/>
    <w:semiHidden/>
    <w:pPr>
      <w:pBdr/>
      <w:spacing/>
      <w:ind/>
    </w:pPr>
    <w:rPr>
      <w:sz w:val="20"/>
      <w:szCs w:val="20"/>
    </w:rPr>
  </w:style>
  <w:style w:type="character" w:styleId="186">
    <w:name w:val="endnote reference"/>
    <w:basedOn w:val="710"/>
    <w:uiPriority w:val="99"/>
    <w:semiHidden/>
    <w:unhideWhenUsed/>
    <w:pPr>
      <w:pBdr/>
      <w:spacing/>
      <w:ind/>
    </w:pPr>
    <w:rPr>
      <w:vertAlign w:val="superscript"/>
    </w:rPr>
  </w:style>
  <w:style w:type="character" w:styleId="188">
    <w:name w:val="FollowedHyperlink"/>
    <w:basedOn w:val="710"/>
    <w:uiPriority w:val="99"/>
    <w:semiHidden/>
    <w:unhideWhenUsed/>
    <w:pPr>
      <w:pBdr/>
      <w:spacing/>
      <w:ind/>
    </w:pPr>
    <w:rPr>
      <w:color w:val="954f72" w:themeColor="followedHyperlink"/>
      <w:u w:val="single"/>
    </w:rPr>
  </w:style>
  <w:style w:type="paragraph" w:styleId="189">
    <w:name w:val="toc 1"/>
    <w:basedOn w:val="702"/>
    <w:next w:val="702"/>
    <w:uiPriority w:val="39"/>
    <w:unhideWhenUsed/>
    <w:pPr>
      <w:pBdr/>
      <w:spacing w:after="100"/>
      <w:ind/>
    </w:pPr>
  </w:style>
  <w:style w:type="paragraph" w:styleId="190">
    <w:name w:val="toc 2"/>
    <w:basedOn w:val="702"/>
    <w:next w:val="702"/>
    <w:uiPriority w:val="39"/>
    <w:unhideWhenUsed/>
    <w:pPr>
      <w:pBdr/>
      <w:spacing w:after="100"/>
      <w:ind w:left="220"/>
    </w:pPr>
  </w:style>
  <w:style w:type="paragraph" w:styleId="191">
    <w:name w:val="toc 3"/>
    <w:basedOn w:val="702"/>
    <w:next w:val="702"/>
    <w:uiPriority w:val="39"/>
    <w:unhideWhenUsed/>
    <w:pPr>
      <w:pBdr/>
      <w:spacing w:after="100"/>
      <w:ind w:left="440"/>
    </w:pPr>
  </w:style>
  <w:style w:type="paragraph" w:styleId="192">
    <w:name w:val="toc 4"/>
    <w:basedOn w:val="702"/>
    <w:next w:val="702"/>
    <w:uiPriority w:val="39"/>
    <w:unhideWhenUsed/>
    <w:pPr>
      <w:pBdr/>
      <w:spacing w:after="100"/>
      <w:ind w:left="660"/>
    </w:pPr>
  </w:style>
  <w:style w:type="paragraph" w:styleId="193">
    <w:name w:val="toc 5"/>
    <w:basedOn w:val="702"/>
    <w:next w:val="702"/>
    <w:uiPriority w:val="39"/>
    <w:unhideWhenUsed/>
    <w:pPr>
      <w:pBdr/>
      <w:spacing w:after="100"/>
      <w:ind w:left="880"/>
    </w:pPr>
  </w:style>
  <w:style w:type="paragraph" w:styleId="194">
    <w:name w:val="toc 6"/>
    <w:basedOn w:val="702"/>
    <w:next w:val="702"/>
    <w:uiPriority w:val="39"/>
    <w:unhideWhenUsed/>
    <w:pPr>
      <w:pBdr/>
      <w:spacing w:after="100"/>
      <w:ind w:left="1100"/>
    </w:pPr>
  </w:style>
  <w:style w:type="paragraph" w:styleId="195">
    <w:name w:val="toc 7"/>
    <w:basedOn w:val="702"/>
    <w:next w:val="702"/>
    <w:uiPriority w:val="39"/>
    <w:unhideWhenUsed/>
    <w:pPr>
      <w:pBdr/>
      <w:spacing w:after="100"/>
      <w:ind w:left="1320"/>
    </w:pPr>
  </w:style>
  <w:style w:type="paragraph" w:styleId="196">
    <w:name w:val="toc 8"/>
    <w:basedOn w:val="702"/>
    <w:next w:val="702"/>
    <w:uiPriority w:val="39"/>
    <w:unhideWhenUsed/>
    <w:pPr>
      <w:pBdr/>
      <w:spacing w:after="100"/>
      <w:ind w:left="1540"/>
    </w:pPr>
  </w:style>
  <w:style w:type="paragraph" w:styleId="197">
    <w:name w:val="toc 9"/>
    <w:basedOn w:val="702"/>
    <w:next w:val="702"/>
    <w:uiPriority w:val="39"/>
    <w:unhideWhenUsed/>
    <w:pPr>
      <w:pBdr/>
      <w:spacing w:after="100"/>
      <w:ind w:left="1760"/>
    </w:pPr>
  </w:style>
  <w:style w:type="character" w:styleId="198">
    <w:name w:val="Placeholder Text"/>
    <w:basedOn w:val="71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2"/>
    <w:next w:val="702"/>
    <w:uiPriority w:val="99"/>
    <w:unhideWhenUsed/>
    <w:pPr>
      <w:pBdr/>
      <w:spacing w:after="0" w:afterAutospacing="0"/>
      <w:ind/>
    </w:pPr>
  </w:style>
  <w:style w:type="paragraph" w:styleId="702" w:default="1">
    <w:name w:val="Normal"/>
    <w:pPr>
      <w:pBdr/>
      <w:spacing/>
      <w:ind/>
    </w:pPr>
  </w:style>
  <w:style w:type="paragraph" w:styleId="703">
    <w:name w:val="Heading 1"/>
    <w:basedOn w:val="702"/>
    <w:next w:val="702"/>
    <w:pPr>
      <w:keepNext w:val="true"/>
      <w:keepLines w:val="true"/>
      <w:pageBreakBefore w:val="false"/>
      <w:pBdr/>
      <w:spacing w:after="120" w:before="480"/>
      <w:ind/>
    </w:pPr>
    <w:rPr>
      <w:b/>
      <w:bCs/>
      <w:sz w:val="48"/>
      <w:szCs w:val="48"/>
    </w:rPr>
  </w:style>
  <w:style w:type="paragraph" w:styleId="704">
    <w:name w:val="Heading 2"/>
    <w:basedOn w:val="702"/>
    <w:next w:val="702"/>
    <w:pPr>
      <w:keepNext w:val="true"/>
      <w:keepLines w:val="true"/>
      <w:pageBreakBefore w:val="false"/>
      <w:pBdr/>
      <w:spacing w:after="80" w:before="360"/>
      <w:ind/>
    </w:pPr>
    <w:rPr>
      <w:b/>
      <w:bCs/>
      <w:sz w:val="36"/>
      <w:szCs w:val="36"/>
    </w:rPr>
  </w:style>
  <w:style w:type="paragraph" w:styleId="705">
    <w:name w:val="Heading 3"/>
    <w:basedOn w:val="702"/>
    <w:next w:val="702"/>
    <w:pPr>
      <w:keepNext w:val="true"/>
      <w:keepLines w:val="true"/>
      <w:pageBreakBefore w:val="false"/>
      <w:pBdr/>
      <w:spacing w:after="80" w:before="280"/>
      <w:ind/>
    </w:pPr>
    <w:rPr>
      <w:b/>
      <w:bCs/>
      <w:sz w:val="28"/>
      <w:szCs w:val="28"/>
    </w:rPr>
  </w:style>
  <w:style w:type="paragraph" w:styleId="706">
    <w:name w:val="Heading 4"/>
    <w:basedOn w:val="702"/>
    <w:next w:val="702"/>
    <w:pPr>
      <w:keepNext w:val="true"/>
      <w:keepLines w:val="true"/>
      <w:pageBreakBefore w:val="false"/>
      <w:pBdr/>
      <w:spacing w:after="40" w:before="240"/>
      <w:ind/>
    </w:pPr>
    <w:rPr>
      <w:b/>
      <w:bCs/>
      <w:sz w:val="24"/>
      <w:szCs w:val="24"/>
    </w:rPr>
  </w:style>
  <w:style w:type="paragraph" w:styleId="707">
    <w:name w:val="Heading 5"/>
    <w:basedOn w:val="702"/>
    <w:next w:val="702"/>
    <w:pPr>
      <w:keepNext w:val="true"/>
      <w:keepLines w:val="true"/>
      <w:pageBreakBefore w:val="false"/>
      <w:pBdr/>
      <w:spacing w:after="40" w:before="220"/>
      <w:ind/>
    </w:pPr>
    <w:rPr>
      <w:b/>
      <w:bCs/>
      <w:sz w:val="22"/>
      <w:szCs w:val="22"/>
    </w:rPr>
  </w:style>
  <w:style w:type="paragraph" w:styleId="708">
    <w:name w:val="Heading 6"/>
    <w:basedOn w:val="702"/>
    <w:next w:val="702"/>
    <w:pPr>
      <w:keepNext w:val="true"/>
      <w:keepLines w:val="true"/>
      <w:pageBreakBefore w:val="false"/>
      <w:pBdr/>
      <w:spacing w:after="40" w:before="200"/>
      <w:ind/>
    </w:pPr>
    <w:rPr>
      <w:b/>
      <w:bCs/>
      <w:sz w:val="20"/>
      <w:szCs w:val="20"/>
    </w:rPr>
  </w:style>
  <w:style w:type="paragraph" w:styleId="709">
    <w:name w:val="Title"/>
    <w:basedOn w:val="702"/>
    <w:next w:val="702"/>
    <w:pPr>
      <w:keepNext w:val="true"/>
      <w:keepLines w:val="true"/>
      <w:pageBreakBefore w:val="false"/>
      <w:pBdr/>
      <w:spacing w:after="120" w:before="480"/>
      <w:ind/>
    </w:pPr>
    <w:rPr>
      <w:b/>
      <w:bCs/>
      <w:sz w:val="72"/>
      <w:szCs w:val="72"/>
    </w:rPr>
  </w:style>
  <w:style w:type="character" w:styleId="710" w:default="1">
    <w:name w:val="Default Paragraph Font"/>
    <w:uiPriority w:val="1"/>
    <w:semiHidden/>
    <w:unhideWhenUsed/>
    <w:pPr>
      <w:pBdr/>
      <w:spacing/>
      <w:ind/>
    </w:pPr>
  </w:style>
  <w:style w:type="table" w:styleId="7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2" w:default="1">
    <w:name w:val="No List"/>
    <w:uiPriority w:val="99"/>
    <w:semiHidden/>
    <w:unhideWhenUsed/>
    <w:pPr>
      <w:pBdr/>
      <w:spacing/>
      <w:ind/>
    </w:pPr>
  </w:style>
  <w:style w:type="paragraph" w:styleId="713">
    <w:name w:val="List Paragraph"/>
    <w:basedOn w:val="702"/>
    <w:uiPriority w:val="34"/>
    <w:qFormat/>
    <w:pPr>
      <w:pBdr/>
      <w:spacing/>
      <w:ind w:left="720"/>
      <w:contextualSpacing w:val="true"/>
    </w:pPr>
  </w:style>
  <w:style w:type="table" w:styleId="714">
    <w:name w:val="Table Grid"/>
    <w:basedOn w:val="71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15" w:customStyle="1">
    <w:name w:val="fontstyle01"/>
    <w:basedOn w:val="710"/>
    <w:pPr>
      <w:pBdr/>
      <w:spacing/>
      <w:ind/>
    </w:pPr>
    <w:rPr>
      <w:rFonts w:hint="default" w:ascii="TimesNewRoman" w:hAnsi="TimesNewRoman"/>
      <w:b w:val="0"/>
      <w:bCs w:val="0"/>
      <w:i w:val="0"/>
      <w:iCs w:val="0"/>
      <w:color w:val="000000"/>
      <w:sz w:val="24"/>
      <w:szCs w:val="24"/>
    </w:rPr>
  </w:style>
  <w:style w:type="character" w:styleId="716" w:customStyle="1">
    <w:name w:val="fontstyle21"/>
    <w:basedOn w:val="710"/>
    <w:pPr>
      <w:pBdr/>
      <w:spacing/>
      <w:ind/>
    </w:pPr>
    <w:rPr>
      <w:rFonts w:hint="default" w:ascii="TimesNewRoman" w:hAnsi="TimesNewRoman"/>
      <w:b w:val="0"/>
      <w:bCs w:val="0"/>
      <w:i/>
      <w:iCs/>
      <w:color w:val="000000"/>
      <w:sz w:val="24"/>
      <w:szCs w:val="24"/>
    </w:rPr>
  </w:style>
  <w:style w:type="character" w:styleId="717">
    <w:name w:val="Hyperlink"/>
    <w:basedOn w:val="710"/>
    <w:uiPriority w:val="99"/>
    <w:unhideWhenUsed/>
    <w:pPr>
      <w:pBdr/>
      <w:spacing/>
      <w:ind/>
    </w:pPr>
    <w:rPr>
      <w:color w:val="0563c1" w:themeColor="hyperlink"/>
      <w:u w:val="single"/>
    </w:rPr>
  </w:style>
  <w:style w:type="paragraph" w:styleId="718">
    <w:name w:val="Subtitle"/>
    <w:basedOn w:val="702"/>
    <w:next w:val="702"/>
    <w:pPr>
      <w:keepNext w:val="true"/>
      <w:keepLines w:val="true"/>
      <w:pageBreakBefore w:val="false"/>
      <w:pBdr/>
      <w:spacing w:after="80" w:before="360"/>
      <w:ind/>
    </w:pPr>
    <w:rPr>
      <w:rFonts w:ascii="Georgia" w:hAnsi="Georgia" w:eastAsia="Georgia" w:cs="Georgia"/>
      <w:i/>
      <w:iCs/>
      <w:color w:val="666666"/>
      <w:sz w:val="48"/>
      <w:szCs w:val="48"/>
    </w:rPr>
  </w:style>
  <w:style w:type="table" w:styleId="719">
    <w:name w:val="StGen0"/>
    <w:basedOn w:val="711"/>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uklEtdPygyB4II6Uq31dynhl5A==">CgMxLjA4AHIhMVNIb2FrWHJnX0hPS2lEd3hmR1NlQ2N3bFVibFNDdTdi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 Trang</dc:creator>
  <cp:revision>1</cp:revision>
  <dcterms:created xsi:type="dcterms:W3CDTF">2022-09-13T13:11:00Z</dcterms:created>
  <dcterms:modified xsi:type="dcterms:W3CDTF">2026-10-08T10:22:40Z</dcterms:modified>
</cp:coreProperties>
</file>