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F2E4" w14:textId="77777777" w:rsidR="00426235" w:rsidRDefault="00000000">
      <w:pPr>
        <w:pStyle w:val="1"/>
      </w:pPr>
      <w:bookmarkStart w:id="0" w:name="narcissus触发器跨架构可转移性研究"/>
      <w:r>
        <w:rPr>
          <w:rFonts w:hint="eastAsia"/>
        </w:rPr>
        <w:t>NARCISSUS</w:t>
      </w:r>
      <w:r>
        <w:rPr>
          <w:rFonts w:hint="eastAsia"/>
        </w:rPr>
        <w:t>触发器跨架构可转移性研究</w:t>
      </w:r>
    </w:p>
    <w:p w14:paraId="29D2FE58" w14:textId="2CB7A689" w:rsidR="00B66BC6" w:rsidRDefault="00B66BC6" w:rsidP="00B66BC6">
      <w:pPr>
        <w:pStyle w:val="a0"/>
      </w:pPr>
      <w:r>
        <w:rPr>
          <w:rFonts w:hint="eastAsia"/>
        </w:rPr>
        <w:t>20232131106</w:t>
      </w:r>
      <w:r>
        <w:rPr>
          <w:rFonts w:hint="eastAsia"/>
        </w:rPr>
        <w:t>廖镇泉</w:t>
      </w:r>
      <w:r w:rsidR="005822B7">
        <w:tab/>
      </w:r>
      <w:r w:rsidR="00A9706D">
        <w:rPr>
          <w:rFonts w:hint="eastAsia"/>
        </w:rPr>
        <w:t>20232131040</w:t>
      </w:r>
      <w:proofErr w:type="gramStart"/>
      <w:r>
        <w:rPr>
          <w:rFonts w:hint="eastAsia"/>
        </w:rPr>
        <w:t>章鸿辉</w:t>
      </w:r>
      <w:proofErr w:type="gramEnd"/>
    </w:p>
    <w:p w14:paraId="38531147" w14:textId="6FB78949" w:rsidR="00521B8F" w:rsidRPr="00B66BC6" w:rsidRDefault="00521B8F" w:rsidP="00B66BC6">
      <w:pPr>
        <w:pStyle w:val="a0"/>
        <w:rPr>
          <w:rFonts w:hint="eastAsia"/>
        </w:rPr>
      </w:pPr>
      <w:r>
        <w:t>G</w:t>
      </w:r>
      <w:r>
        <w:rPr>
          <w:rFonts w:hint="eastAsia"/>
        </w:rPr>
        <w:t>ithub</w:t>
      </w:r>
      <w:r>
        <w:rPr>
          <w:rFonts w:hint="eastAsia"/>
        </w:rPr>
        <w:t>仓库</w:t>
      </w:r>
      <w:r>
        <w:rPr>
          <w:rFonts w:hint="eastAsia"/>
        </w:rPr>
        <w:t xml:space="preserve"> </w:t>
      </w:r>
      <w:hyperlink r:id="rId7" w:history="1">
        <w:r w:rsidR="00A9706D" w:rsidRPr="00A9706D">
          <w:rPr>
            <w:color w:val="0000FF"/>
            <w:u w:val="single"/>
          </w:rPr>
          <w:t>quanizumi/NARCISSUS_Transferability: NARCISSUS</w:t>
        </w:r>
        <w:r w:rsidR="00A9706D" w:rsidRPr="00A9706D">
          <w:rPr>
            <w:color w:val="0000FF"/>
            <w:u w:val="single"/>
          </w:rPr>
          <w:t>触发器跨架构可转移性研究</w:t>
        </w:r>
      </w:hyperlink>
    </w:p>
    <w:p w14:paraId="16881ABA" w14:textId="77777777" w:rsidR="00426235" w:rsidRDefault="00000000">
      <w:pPr>
        <w:pStyle w:val="2"/>
      </w:pPr>
      <w:bookmarkStart w:id="1" w:name="摘要"/>
      <w:r>
        <w:rPr>
          <w:rFonts w:hint="eastAsia"/>
        </w:rPr>
        <w:t>摘要</w:t>
      </w:r>
    </w:p>
    <w:p w14:paraId="7E761BD2" w14:textId="77777777" w:rsidR="00426235" w:rsidRDefault="00000000" w:rsidP="005822B7">
      <w:pPr>
        <w:pStyle w:val="FirstParagraph"/>
        <w:ind w:firstLineChars="200" w:firstLine="480"/>
      </w:pPr>
      <w:r>
        <w:rPr>
          <w:rFonts w:hint="eastAsia"/>
        </w:rPr>
        <w:t>后门攻击是深度学习模型面临的重要安全威胁之一。</w:t>
      </w:r>
      <w:r>
        <w:rPr>
          <w:rFonts w:hint="eastAsia"/>
        </w:rPr>
        <w:t>NARCISSUS</w:t>
      </w:r>
      <w:r>
        <w:rPr>
          <w:rFonts w:hint="eastAsia"/>
        </w:rPr>
        <w:t>作为一种实用的清洁标签后门攻击方法，仅利用目标类数据即可实现高效攻击。然而，关于其触发器在不同神经网络架构间转移能力的研究仍然有限。本文针对</w:t>
      </w:r>
      <w:r>
        <w:rPr>
          <w:rFonts w:hint="eastAsia"/>
        </w:rPr>
        <w:t>NARCISSUS</w:t>
      </w:r>
      <w:r>
        <w:rPr>
          <w:rFonts w:hint="eastAsia"/>
        </w:rPr>
        <w:t>触发器的跨架构可转移性进行了系统性的深入研究。通过对原始论文实验数据的深度分析，我们发现了几个重要的规律：触发器的转移性呈现出高度对称性，即从模型</w:t>
      </w:r>
      <w:r>
        <w:rPr>
          <w:rFonts w:hint="eastAsia"/>
        </w:rPr>
        <w:t>A</w:t>
      </w:r>
      <w:r>
        <w:rPr>
          <w:rFonts w:hint="eastAsia"/>
        </w:rPr>
        <w:t>转移到模型</w:t>
      </w:r>
      <w:r>
        <w:rPr>
          <w:rFonts w:hint="eastAsia"/>
        </w:rPr>
        <w:t>B</w:t>
      </w:r>
      <w:r>
        <w:rPr>
          <w:rFonts w:hint="eastAsia"/>
        </w:rPr>
        <w:t>与从模型</w:t>
      </w:r>
      <w:r>
        <w:rPr>
          <w:rFonts w:hint="eastAsia"/>
        </w:rPr>
        <w:t>B</w:t>
      </w:r>
      <w:r>
        <w:rPr>
          <w:rFonts w:hint="eastAsia"/>
        </w:rPr>
        <w:t>转移到模型</w:t>
      </w:r>
      <w:r>
        <w:rPr>
          <w:rFonts w:hint="eastAsia"/>
        </w:rPr>
        <w:t>A</w:t>
      </w:r>
      <w:r>
        <w:rPr>
          <w:rFonts w:hint="eastAsia"/>
        </w:rPr>
        <w:t>的成功率几乎相同；使用</w:t>
      </w:r>
      <w:r>
        <w:rPr>
          <w:rFonts w:hint="eastAsia"/>
        </w:rPr>
        <w:t>GoogLeNet</w:t>
      </w:r>
      <w:r>
        <w:rPr>
          <w:rFonts w:hint="eastAsia"/>
        </w:rPr>
        <w:t>作为替代模型可以产生具有最强转移性的触发器；此外，替代模型的容量与触发器的转移性呈现正相关关系。本研究为理解清洁标签后门攻击的转移机制提供了重要的实证依据，并对后门防御策略的设计具有重要的参考价值。</w:t>
      </w:r>
    </w:p>
    <w:p w14:paraId="35CA1E35" w14:textId="6DDA2EEB" w:rsidR="00426235" w:rsidRDefault="00000000" w:rsidP="00A05168">
      <w:pPr>
        <w:pStyle w:val="a0"/>
      </w:pPr>
      <w:r>
        <w:rPr>
          <w:rFonts w:hint="eastAsia"/>
          <w:b/>
          <w:bCs/>
        </w:rPr>
        <w:t>关键词</w:t>
      </w:r>
      <w:r>
        <w:rPr>
          <w:rFonts w:hint="eastAsia"/>
        </w:rPr>
        <w:t>：后门攻击，清洁标签，转移性攻击，深度神经网络，安全</w:t>
      </w:r>
    </w:p>
    <w:p w14:paraId="25F5B238" w14:textId="77777777" w:rsidR="00426235" w:rsidRDefault="00000000">
      <w:pPr>
        <w:pStyle w:val="2"/>
      </w:pPr>
      <w:bookmarkStart w:id="2" w:name="一引言"/>
      <w:bookmarkEnd w:id="1"/>
      <w:r>
        <w:rPr>
          <w:rFonts w:hint="eastAsia"/>
        </w:rPr>
        <w:t>一、引言</w:t>
      </w:r>
    </w:p>
    <w:p w14:paraId="5DC2D573" w14:textId="340205B7" w:rsidR="00426235" w:rsidRDefault="00000000">
      <w:pPr>
        <w:pStyle w:val="3"/>
      </w:pPr>
      <w:bookmarkStart w:id="3" w:name="研究背景"/>
      <w:r>
        <w:t xml:space="preserve">1. </w:t>
      </w:r>
      <w:r>
        <w:rPr>
          <w:rFonts w:hint="eastAsia"/>
        </w:rPr>
        <w:t>研究背景</w:t>
      </w:r>
    </w:p>
    <w:p w14:paraId="16838515" w14:textId="77777777" w:rsidR="00426235" w:rsidRDefault="00000000" w:rsidP="005822B7">
      <w:pPr>
        <w:pStyle w:val="FirstParagraph"/>
        <w:ind w:firstLineChars="200" w:firstLine="480"/>
      </w:pPr>
      <w:r>
        <w:rPr>
          <w:rFonts w:hint="eastAsia"/>
        </w:rPr>
        <w:t>近年来，深度神经网络在计算机视觉、自然语言处理等领域取得了突破性进展</w:t>
      </w:r>
      <w:r>
        <w:rPr>
          <w:rFonts w:hint="eastAsia"/>
        </w:rPr>
        <w:t>[1][2]</w:t>
      </w:r>
      <w:r>
        <w:rPr>
          <w:rFonts w:hint="eastAsia"/>
        </w:rPr>
        <w:t>。然而，深度学习模型的训练过程需要大量数据，这促使</w:t>
      </w:r>
      <w:r>
        <w:t xml:space="preserve"> practitioners </w:t>
      </w:r>
      <w:r>
        <w:rPr>
          <w:rFonts w:hint="eastAsia"/>
        </w:rPr>
        <w:t>将数据收集和模型训练外包给第三方平台</w:t>
      </w:r>
      <w:r>
        <w:rPr>
          <w:rFonts w:hint="eastAsia"/>
        </w:rPr>
        <w:t>[3]</w:t>
      </w:r>
      <w:r>
        <w:rPr>
          <w:rFonts w:hint="eastAsia"/>
        </w:rPr>
        <w:t>。这种数据外包模式虽然提高了效率，但也为恶意攻击者提供了可乘之机。后门攻击（</w:t>
      </w:r>
      <w:r>
        <w:rPr>
          <w:rFonts w:hint="eastAsia"/>
        </w:rPr>
        <w:t>Backdoor</w:t>
      </w:r>
      <w:r>
        <w:t xml:space="preserve"> </w:t>
      </w:r>
      <w:r>
        <w:rPr>
          <w:rFonts w:hint="eastAsia"/>
        </w:rPr>
        <w:t>Attack</w:t>
      </w:r>
      <w:r>
        <w:rPr>
          <w:rFonts w:hint="eastAsia"/>
        </w:rPr>
        <w:t>）便是其中一种威胁极大的攻击方式</w:t>
      </w:r>
      <w:r>
        <w:rPr>
          <w:rFonts w:hint="eastAsia"/>
        </w:rPr>
        <w:t>[4][5]</w:t>
      </w:r>
      <w:r>
        <w:rPr>
          <w:rFonts w:hint="eastAsia"/>
        </w:rPr>
        <w:t>。</w:t>
      </w:r>
    </w:p>
    <w:p w14:paraId="4E95241C" w14:textId="77777777" w:rsidR="00426235" w:rsidRDefault="00000000" w:rsidP="005822B7">
      <w:pPr>
        <w:pStyle w:val="a0"/>
        <w:ind w:firstLineChars="200" w:firstLine="480"/>
      </w:pPr>
      <w:r>
        <w:rPr>
          <w:rFonts w:hint="eastAsia"/>
        </w:rPr>
        <w:t>在后门攻击中，攻击者通过向训练数据中注入带有特定触发器（</w:t>
      </w:r>
      <w:r>
        <w:rPr>
          <w:rFonts w:hint="eastAsia"/>
        </w:rPr>
        <w:t>Trigger</w:t>
      </w:r>
      <w:r>
        <w:rPr>
          <w:rFonts w:hint="eastAsia"/>
        </w:rPr>
        <w:t>）的投毒样本，使得被感染的模型在正常输入上表现正常，但对带有触发器的输入会产生攻击者预设的错误分类结果</w:t>
      </w:r>
      <w:r>
        <w:rPr>
          <w:rFonts w:hint="eastAsia"/>
        </w:rPr>
        <w:t>[6]</w:t>
      </w:r>
      <w:r>
        <w:rPr>
          <w:rFonts w:hint="eastAsia"/>
        </w:rPr>
        <w:t>。根据投毒样本标签是否与原始标签一致，后门攻击可分为脏标签攻击（</w:t>
      </w:r>
      <w:r>
        <w:rPr>
          <w:rFonts w:hint="eastAsia"/>
        </w:rPr>
        <w:t>Dirty-Label</w:t>
      </w:r>
      <w:r>
        <w:t xml:space="preserve"> </w:t>
      </w:r>
      <w:r>
        <w:rPr>
          <w:rFonts w:hint="eastAsia"/>
        </w:rPr>
        <w:t>Attack</w:t>
      </w:r>
      <w:r>
        <w:rPr>
          <w:rFonts w:hint="eastAsia"/>
        </w:rPr>
        <w:t>）和清洁标签攻击（</w:t>
      </w:r>
      <w:r>
        <w:rPr>
          <w:rFonts w:hint="eastAsia"/>
        </w:rPr>
        <w:t>Clean-Label</w:t>
      </w:r>
      <w:r>
        <w:t xml:space="preserve"> </w:t>
      </w:r>
      <w:r>
        <w:rPr>
          <w:rFonts w:hint="eastAsia"/>
        </w:rPr>
        <w:t>Attack</w:t>
      </w:r>
      <w:r>
        <w:rPr>
          <w:rFonts w:hint="eastAsia"/>
        </w:rPr>
        <w:t>）</w:t>
      </w:r>
      <w:r>
        <w:rPr>
          <w:rFonts w:hint="eastAsia"/>
        </w:rPr>
        <w:t>[7]</w:t>
      </w:r>
      <w:r>
        <w:rPr>
          <w:rFonts w:hint="eastAsia"/>
        </w:rPr>
        <w:t>。清洁标签攻击由于其更高的隐蔽性，近年来受到了广泛关注。</w:t>
      </w:r>
    </w:p>
    <w:p w14:paraId="4A9729D4" w14:textId="6B853E2F" w:rsidR="00426235" w:rsidRDefault="00000000">
      <w:pPr>
        <w:pStyle w:val="3"/>
      </w:pPr>
      <w:bookmarkStart w:id="4" w:name="研究动机"/>
      <w:bookmarkEnd w:id="3"/>
      <w:r>
        <w:t>2</w:t>
      </w:r>
      <w:r w:rsidR="00014D0D">
        <w:rPr>
          <w:rFonts w:hint="eastAsia"/>
        </w:rPr>
        <w:t>.</w:t>
      </w:r>
      <w:r>
        <w:t xml:space="preserve"> </w:t>
      </w:r>
      <w:r>
        <w:rPr>
          <w:rFonts w:hint="eastAsia"/>
        </w:rPr>
        <w:t>研究动机</w:t>
      </w:r>
    </w:p>
    <w:p w14:paraId="242C73D2" w14:textId="77777777" w:rsidR="00426235" w:rsidRDefault="00000000" w:rsidP="005822B7">
      <w:pPr>
        <w:pStyle w:val="FirstParagraph"/>
        <w:ind w:firstLineChars="200" w:firstLine="480"/>
      </w:pPr>
      <w:r>
        <w:rPr>
          <w:rFonts w:hint="eastAsia"/>
        </w:rPr>
        <w:t>NARCISSUS</w:t>
      </w:r>
      <w:r>
        <w:rPr>
          <w:rFonts w:hint="eastAsia"/>
        </w:rPr>
        <w:t>是近年来提出的一种革命性的清洁标签后门攻击方法</w:t>
      </w:r>
      <w:r>
        <w:rPr>
          <w:rFonts w:hint="eastAsia"/>
        </w:rPr>
        <w:t>[8]</w:t>
      </w:r>
      <w:r>
        <w:rPr>
          <w:rFonts w:hint="eastAsia"/>
        </w:rPr>
        <w:t>。与以往需要了解整个训练集的清洁标签攻击不同，</w:t>
      </w:r>
      <w:r>
        <w:rPr>
          <w:rFonts w:hint="eastAsia"/>
        </w:rPr>
        <w:t>NARCISSUS</w:t>
      </w:r>
      <w:r>
        <w:rPr>
          <w:rFonts w:hint="eastAsia"/>
        </w:rPr>
        <w:t>仅需要目标类的少量样本即可实施有效攻击。实验表明，在</w:t>
      </w:r>
      <w:r>
        <w:rPr>
          <w:rFonts w:hint="eastAsia"/>
        </w:rPr>
        <w:t>CIFAR-10</w:t>
      </w:r>
      <w:r>
        <w:rPr>
          <w:rFonts w:hint="eastAsia"/>
        </w:rPr>
        <w:t>数据集上，仅使用</w:t>
      </w:r>
      <w:r>
        <w:rPr>
          <w:rFonts w:hint="eastAsia"/>
        </w:rPr>
        <w:t>0.05%</w:t>
      </w:r>
      <w:r>
        <w:rPr>
          <w:rFonts w:hint="eastAsia"/>
        </w:rPr>
        <w:t>的投毒率，</w:t>
      </w:r>
      <w:r>
        <w:rPr>
          <w:rFonts w:hint="eastAsia"/>
        </w:rPr>
        <w:lastRenderedPageBreak/>
        <w:t>NARCISSUS</w:t>
      </w:r>
      <w:r>
        <w:rPr>
          <w:rFonts w:hint="eastAsia"/>
        </w:rPr>
        <w:t>即可达到</w:t>
      </w:r>
      <w:r>
        <w:rPr>
          <w:rFonts w:hint="eastAsia"/>
        </w:rPr>
        <w:t>97.36%</w:t>
      </w:r>
      <w:r>
        <w:rPr>
          <w:rFonts w:hint="eastAsia"/>
        </w:rPr>
        <w:t>的攻击成功率（</w:t>
      </w:r>
      <w:r>
        <w:rPr>
          <w:rFonts w:hint="eastAsia"/>
        </w:rPr>
        <w:t>ASR</w:t>
      </w:r>
      <w:r>
        <w:rPr>
          <w:rFonts w:hint="eastAsia"/>
        </w:rPr>
        <w:t>），这一数字是其他清洁标签攻击方法的</w:t>
      </w:r>
      <w:r>
        <w:rPr>
          <w:rFonts w:hint="eastAsia"/>
        </w:rPr>
        <w:t>30</w:t>
      </w:r>
      <w:r>
        <w:rPr>
          <w:rFonts w:hint="eastAsia"/>
        </w:rPr>
        <w:t>倍以上。</w:t>
      </w:r>
    </w:p>
    <w:p w14:paraId="586415E8" w14:textId="77777777" w:rsidR="00426235" w:rsidRDefault="00000000" w:rsidP="005822B7">
      <w:pPr>
        <w:pStyle w:val="a0"/>
        <w:ind w:firstLineChars="200" w:firstLine="480"/>
      </w:pPr>
      <w:r>
        <w:rPr>
          <w:rFonts w:hint="eastAsia"/>
        </w:rPr>
        <w:t>然而，关于</w:t>
      </w:r>
      <w:r>
        <w:rPr>
          <w:rFonts w:hint="eastAsia"/>
        </w:rPr>
        <w:t>NARCISSUS</w:t>
      </w:r>
      <w:r>
        <w:rPr>
          <w:rFonts w:hint="eastAsia"/>
        </w:rPr>
        <w:t>触发器的一个重要问题尚未得到充分研究：触发器在不同神经网络架构间的转移能力如何？这一问题的答案对于评估</w:t>
      </w:r>
      <w:r>
        <w:rPr>
          <w:rFonts w:hint="eastAsia"/>
        </w:rPr>
        <w:t>NARCISSUS</w:t>
      </w:r>
      <w:r>
        <w:rPr>
          <w:rFonts w:hint="eastAsia"/>
        </w:rPr>
        <w:t>在现实场景中的实际威胁程度至关重要。在实际攻击中，攻击者往往无法准确获知受害者将使用的模型架构，因此触发器的跨架构转移能力直接决定了攻击的实用性。</w:t>
      </w:r>
    </w:p>
    <w:p w14:paraId="12A93E39" w14:textId="309C3407" w:rsidR="00426235" w:rsidRDefault="00000000">
      <w:pPr>
        <w:pStyle w:val="3"/>
      </w:pPr>
      <w:bookmarkStart w:id="5" w:name="研究贡献"/>
      <w:bookmarkEnd w:id="4"/>
      <w:r>
        <w:t>3</w:t>
      </w:r>
      <w:r w:rsidR="00167540">
        <w:rPr>
          <w:rFonts w:hint="eastAsia"/>
        </w:rPr>
        <w:t>.</w:t>
      </w:r>
      <w:r>
        <w:t xml:space="preserve"> </w:t>
      </w:r>
      <w:r>
        <w:rPr>
          <w:rFonts w:hint="eastAsia"/>
        </w:rPr>
        <w:t>研究贡献</w:t>
      </w:r>
    </w:p>
    <w:p w14:paraId="01C4DB7D" w14:textId="77777777" w:rsidR="00426235" w:rsidRDefault="00000000" w:rsidP="002A5FAC">
      <w:pPr>
        <w:pStyle w:val="FirstParagraph"/>
        <w:ind w:firstLine="480"/>
      </w:pPr>
      <w:r>
        <w:rPr>
          <w:rFonts w:hint="eastAsia"/>
        </w:rPr>
        <w:t>本文的主要贡献可以概括为以下几个方面：</w:t>
      </w:r>
    </w:p>
    <w:p w14:paraId="78250886" w14:textId="77777777" w:rsidR="00426235" w:rsidRDefault="00000000" w:rsidP="002A5FAC">
      <w:pPr>
        <w:pStyle w:val="a0"/>
        <w:ind w:firstLine="480"/>
      </w:pPr>
      <w:r>
        <w:rPr>
          <w:rFonts w:hint="eastAsia"/>
        </w:rPr>
        <w:t>首先，我们系统性地分析了</w:t>
      </w:r>
      <w:r>
        <w:rPr>
          <w:rFonts w:hint="eastAsia"/>
        </w:rPr>
        <w:t>NARCISSUS</w:t>
      </w:r>
      <w:r>
        <w:rPr>
          <w:rFonts w:hint="eastAsia"/>
        </w:rPr>
        <w:t>触发器在不同神经网络架构间的转移规律。通过对原始论文中</w:t>
      </w:r>
      <w:r>
        <w:rPr>
          <w:rFonts w:hint="eastAsia"/>
        </w:rPr>
        <w:t>Table</w:t>
      </w:r>
      <w:r>
        <w:t xml:space="preserve"> </w:t>
      </w:r>
      <w:r>
        <w:rPr>
          <w:rFonts w:hint="eastAsia"/>
        </w:rPr>
        <w:t>5</w:t>
      </w:r>
      <w:r>
        <w:rPr>
          <w:rFonts w:hint="eastAsia"/>
        </w:rPr>
        <w:t>数据的深入分析，我们发现了触发器转移性的几个重要特征，包括高度对称性、最佳替代模型选择规律等。</w:t>
      </w:r>
    </w:p>
    <w:p w14:paraId="3FC4ECC6" w14:textId="77777777" w:rsidR="00426235" w:rsidRDefault="00000000" w:rsidP="002A5FAC">
      <w:pPr>
        <w:pStyle w:val="a0"/>
        <w:ind w:firstLine="480"/>
      </w:pPr>
      <w:r>
        <w:rPr>
          <w:rFonts w:hint="eastAsia"/>
        </w:rPr>
        <w:t>其次，我们提出了影响触发器转移性的关键因素假设，并通过数据分析进行了验证。研究发现，替代模型的容量与触发器的转移性呈现正相关关系，而模型架构类型对转移性的影响相对较小。</w:t>
      </w:r>
    </w:p>
    <w:p w14:paraId="53225DFE" w14:textId="533E399B" w:rsidR="00426235" w:rsidRDefault="00000000" w:rsidP="002A5FAC">
      <w:pPr>
        <w:pStyle w:val="a0"/>
        <w:ind w:firstLine="480"/>
      </w:pPr>
      <w:r>
        <w:rPr>
          <w:rFonts w:hint="eastAsia"/>
        </w:rPr>
        <w:t>最后，我们的研究发现对后门防御策略的设计具有重要启示。由于</w:t>
      </w:r>
      <w:r>
        <w:rPr>
          <w:rFonts w:hint="eastAsia"/>
        </w:rPr>
        <w:t>NARCISSUS</w:t>
      </w:r>
      <w:r>
        <w:rPr>
          <w:rFonts w:hint="eastAsia"/>
        </w:rPr>
        <w:t>触发器具有出色的跨架构转移性，传统的基于模型特定后门检测的方法可能面临更大挑战，这要求研究者开发更加鲁棒的防御机制。</w:t>
      </w:r>
    </w:p>
    <w:p w14:paraId="687CC6BE" w14:textId="77777777" w:rsidR="00426235" w:rsidRDefault="00000000">
      <w:pPr>
        <w:pStyle w:val="2"/>
      </w:pPr>
      <w:bookmarkStart w:id="6" w:name="二背景与相关工作"/>
      <w:bookmarkEnd w:id="2"/>
      <w:bookmarkEnd w:id="5"/>
      <w:r>
        <w:rPr>
          <w:rFonts w:hint="eastAsia"/>
        </w:rPr>
        <w:t>二、背景与相关工作</w:t>
      </w:r>
    </w:p>
    <w:p w14:paraId="15E15ACA" w14:textId="53AAD9D6" w:rsidR="00426235" w:rsidRDefault="00000000">
      <w:pPr>
        <w:pStyle w:val="3"/>
      </w:pPr>
      <w:bookmarkStart w:id="7" w:name="后门攻击概述"/>
      <w:r>
        <w:t xml:space="preserve">1 </w:t>
      </w:r>
      <w:r>
        <w:rPr>
          <w:rFonts w:hint="eastAsia"/>
        </w:rPr>
        <w:t>后门攻击概述</w:t>
      </w:r>
    </w:p>
    <w:p w14:paraId="0164C337" w14:textId="77777777" w:rsidR="00426235" w:rsidRDefault="00000000" w:rsidP="002A5FAC">
      <w:pPr>
        <w:pStyle w:val="FirstParagraph"/>
        <w:ind w:firstLine="480"/>
      </w:pPr>
      <w:r>
        <w:rPr>
          <w:rFonts w:hint="eastAsia"/>
        </w:rPr>
        <w:t>后门攻击的目标是使深度学习模型在包含特定触发器的输入上产生攻击者预设的分类结果，同时保持对正常输入的正常分类</w:t>
      </w:r>
      <w:r>
        <w:rPr>
          <w:rFonts w:hint="eastAsia"/>
        </w:rPr>
        <w:t>[4][5][6]</w:t>
      </w:r>
      <w:r>
        <w:rPr>
          <w:rFonts w:hint="eastAsia"/>
        </w:rPr>
        <w:t>。形式化地，假设原始模型为</w:t>
      </w:r>
      <m:oMath>
        <m:sSub>
          <m:sSubPr>
            <m:ctrlPr>
              <w:rPr>
                <w:rFonts w:ascii="Cambria Math" w:hAnsi="Cambria Math"/>
              </w:rPr>
            </m:ctrlPr>
          </m:sSubPr>
          <m:e>
            <m:r>
              <w:rPr>
                <w:rFonts w:ascii="Cambria Math" w:hAnsi="Cambria Math"/>
              </w:rPr>
              <m:t>f</m:t>
            </m:r>
          </m:e>
          <m:sub>
            <m:r>
              <w:rPr>
                <w:rFonts w:ascii="Cambria Math" w:hAnsi="Cambria Math"/>
              </w:rPr>
              <m:t>θ</m:t>
            </m:r>
          </m:sub>
        </m:sSub>
      </m:oMath>
      <w:r>
        <w:rPr>
          <w:rFonts w:hint="eastAsia"/>
        </w:rPr>
        <w:t>，触发器为</w:t>
      </w:r>
      <m:oMath>
        <m:r>
          <w:rPr>
            <w:rFonts w:ascii="Cambria Math" w:hAnsi="Cambria Math"/>
          </w:rPr>
          <m:t>δ</m:t>
        </m:r>
      </m:oMath>
      <w:r>
        <w:rPr>
          <w:rFonts w:hint="eastAsia"/>
        </w:rPr>
        <w:t>，目标类别为</w:t>
      </w:r>
      <m:oMath>
        <m:r>
          <w:rPr>
            <w:rFonts w:ascii="Cambria Math" w:hAnsi="Cambria Math"/>
          </w:rPr>
          <m:t>t</m:t>
        </m:r>
      </m:oMath>
      <w:r>
        <w:rPr>
          <w:rFonts w:hint="eastAsia"/>
        </w:rPr>
        <w:t>，攻击者的目标是找到一个投毒数据集</w:t>
      </w:r>
      <m:oMath>
        <m:sSub>
          <m:sSubPr>
            <m:ctrlPr>
              <w:rPr>
                <w:rFonts w:ascii="Cambria Math" w:hAnsi="Cambria Math"/>
              </w:rPr>
            </m:ctrlPr>
          </m:sSubPr>
          <m:e>
            <m:r>
              <w:rPr>
                <w:rFonts w:ascii="Cambria Math" w:hAnsi="Cambria Math"/>
              </w:rPr>
              <m:t>D</m:t>
            </m:r>
          </m:e>
          <m:sub>
            <m:r>
              <w:rPr>
                <w:rFonts w:ascii="Cambria Math" w:hAnsi="Cambria Math"/>
              </w:rPr>
              <m:t>p</m:t>
            </m:r>
          </m:sub>
        </m:sSub>
      </m:oMath>
      <w:r>
        <w:rPr>
          <w:rFonts w:hint="eastAsia"/>
        </w:rPr>
        <w:t>，使得在</w:t>
      </w:r>
      <m:oMath>
        <m:sSub>
          <m:sSubPr>
            <m:ctrlPr>
              <w:rPr>
                <w:rFonts w:ascii="Cambria Math" w:hAnsi="Cambria Math"/>
              </w:rPr>
            </m:ctrlPr>
          </m:sSubPr>
          <m:e>
            <m:r>
              <w:rPr>
                <w:rFonts w:ascii="Cambria Math" w:hAnsi="Cambria Math"/>
              </w:rPr>
              <m:t>D</m:t>
            </m:r>
          </m:e>
          <m:sub>
            <m:r>
              <w:rPr>
                <w:rFonts w:ascii="Cambria Math" w:hAnsi="Cambria Math"/>
              </w:rPr>
              <m:t>p</m:t>
            </m:r>
          </m:sub>
        </m:sSub>
      </m:oMath>
      <w:r>
        <w:rPr>
          <w:rFonts w:hint="eastAsia"/>
        </w:rPr>
        <w:t>上训练的模型</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oMath>
      <w:r>
        <w:rPr>
          <w:rFonts w:hint="eastAsia"/>
        </w:rPr>
        <w:t>满足：</w:t>
      </w:r>
    </w:p>
    <w:p w14:paraId="11A1C191" w14:textId="77777777" w:rsidR="00426235" w:rsidRDefault="00000000">
      <w:pPr>
        <w:pStyle w:val="a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clean</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58B8E14" w14:textId="77777777" w:rsidR="00426235" w:rsidRDefault="00000000">
      <w:pPr>
        <w:pStyle w:val="FirstParagraph"/>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backdoor</m:t>
                  </m:r>
                </m:sub>
              </m:sSub>
            </m:sub>
          </m:sSub>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m:oMathPara>
    </w:p>
    <w:p w14:paraId="55D64F4C" w14:textId="77777777" w:rsidR="00426235" w:rsidRDefault="00000000" w:rsidP="002A5FAC">
      <w:pPr>
        <w:pStyle w:val="FirstParagraph"/>
        <w:ind w:firstLine="480"/>
      </w:pPr>
      <w:r>
        <w:rPr>
          <w:rFonts w:hint="eastAsia"/>
        </w:rPr>
        <w:t>其中</w:t>
      </w:r>
      <m:oMath>
        <m:r>
          <w:rPr>
            <w:rFonts w:ascii="Cambria Math" w:hAnsi="Cambria Math"/>
          </w:rPr>
          <m:t>x</m:t>
        </m:r>
        <m:r>
          <m:rPr>
            <m:sty m:val="p"/>
          </m:rPr>
          <w:rPr>
            <w:rFonts w:ascii="Cambria Math" w:hAnsi="Cambria Math"/>
          </w:rPr>
          <m:t>⊕</m:t>
        </m:r>
        <m:r>
          <w:rPr>
            <w:rFonts w:ascii="Cambria Math" w:hAnsi="Cambria Math"/>
          </w:rPr>
          <m:t>δ</m:t>
        </m:r>
      </m:oMath>
      <w:r>
        <w:rPr>
          <w:rFonts w:hint="eastAsia"/>
        </w:rPr>
        <w:t>表示将触发器</w:t>
      </w:r>
      <m:oMath>
        <m:r>
          <w:rPr>
            <w:rFonts w:ascii="Cambria Math" w:hAnsi="Cambria Math"/>
          </w:rPr>
          <m:t>δ</m:t>
        </m:r>
      </m:oMath>
      <w:r>
        <w:rPr>
          <w:rFonts w:hint="eastAsia"/>
        </w:rPr>
        <w:t>添加到输入</w:t>
      </w:r>
      <m:oMath>
        <m:r>
          <w:rPr>
            <w:rFonts w:ascii="Cambria Math" w:hAnsi="Cambria Math"/>
          </w:rPr>
          <m:t>x</m:t>
        </m:r>
      </m:oMath>
      <w:r>
        <w:rPr>
          <w:rFonts w:hint="eastAsia"/>
        </w:rPr>
        <w:t>上。</w:t>
      </w:r>
    </w:p>
    <w:p w14:paraId="19ACF762" w14:textId="5C73C154" w:rsidR="00426235" w:rsidRDefault="00000000">
      <w:pPr>
        <w:pStyle w:val="3"/>
      </w:pPr>
      <w:bookmarkStart w:id="8" w:name="清洁标签后门攻击"/>
      <w:bookmarkEnd w:id="7"/>
      <w:r>
        <w:t xml:space="preserve">2. </w:t>
      </w:r>
      <w:r>
        <w:rPr>
          <w:rFonts w:hint="eastAsia"/>
        </w:rPr>
        <w:t>清洁标签后门攻击</w:t>
      </w:r>
    </w:p>
    <w:p w14:paraId="1B9B2174" w14:textId="77777777" w:rsidR="00426235" w:rsidRDefault="00000000" w:rsidP="002A5FAC">
      <w:pPr>
        <w:pStyle w:val="FirstParagraph"/>
        <w:ind w:firstLine="480"/>
      </w:pPr>
      <w:r>
        <w:rPr>
          <w:rFonts w:hint="eastAsia"/>
        </w:rPr>
        <w:t>传统的后门攻击（如</w:t>
      </w:r>
      <w:r>
        <w:rPr>
          <w:rFonts w:hint="eastAsia"/>
        </w:rPr>
        <w:t>BadNets[4]</w:t>
      </w:r>
      <w:r>
        <w:rPr>
          <w:rFonts w:hint="eastAsia"/>
        </w:rPr>
        <w:t>、</w:t>
      </w:r>
      <w:r>
        <w:rPr>
          <w:rFonts w:hint="eastAsia"/>
        </w:rPr>
        <w:t>Blend[5]</w:t>
      </w:r>
      <w:r>
        <w:rPr>
          <w:rFonts w:hint="eastAsia"/>
        </w:rPr>
        <w:t>）采用脏标签方式，即投毒样本的标签被修改为目标类别。这类攻击虽然有效，但投毒样本与原始标签明显不一致，容易被检测。</w:t>
      </w:r>
    </w:p>
    <w:p w14:paraId="295F111F" w14:textId="77777777" w:rsidR="00426235" w:rsidRDefault="00000000" w:rsidP="002A5FAC">
      <w:pPr>
        <w:pStyle w:val="a0"/>
        <w:ind w:firstLine="480"/>
      </w:pPr>
      <w:r>
        <w:rPr>
          <w:rFonts w:hint="eastAsia"/>
        </w:rPr>
        <w:lastRenderedPageBreak/>
        <w:t>清洁标签后门攻击要求投毒样本的标签保持与原始输入一致，从而提高攻击的隐蔽性。现有的清洁标签攻击方法主要包括：</w:t>
      </w:r>
    </w:p>
    <w:p w14:paraId="3F208BA8" w14:textId="77777777" w:rsidR="00426235" w:rsidRDefault="00000000" w:rsidP="002A5FAC">
      <w:pPr>
        <w:pStyle w:val="a0"/>
        <w:ind w:firstLine="480"/>
      </w:pPr>
      <w:r>
        <w:rPr>
          <w:b/>
          <w:bCs/>
        </w:rPr>
        <w:t>Label-Consistent (LC) Attack</w:t>
      </w:r>
      <w:r>
        <w:rPr>
          <w:rFonts w:hint="eastAsia"/>
        </w:rPr>
        <w:t>[7]</w:t>
      </w:r>
      <w:r>
        <w:rPr>
          <w:rFonts w:hint="eastAsia"/>
        </w:rPr>
        <w:t>：通过添加对抗性扰动或使用</w:t>
      </w:r>
      <w:r>
        <w:rPr>
          <w:rFonts w:hint="eastAsia"/>
        </w:rPr>
        <w:t>GAN</w:t>
      </w:r>
      <w:r>
        <w:rPr>
          <w:rFonts w:hint="eastAsia"/>
        </w:rPr>
        <w:t>混合不同类别的特征，使投毒样本难以被分类器学习原始特征，从而增加触发器与目标类别的关联。</w:t>
      </w:r>
    </w:p>
    <w:p w14:paraId="5E9A8B1D" w14:textId="77777777" w:rsidR="00426235" w:rsidRDefault="00000000" w:rsidP="002A5FAC">
      <w:pPr>
        <w:pStyle w:val="a0"/>
        <w:ind w:firstLine="480"/>
      </w:pPr>
      <w:r>
        <w:rPr>
          <w:b/>
          <w:bCs/>
        </w:rPr>
        <w:t>Hidden Trigger Backdoor Attack (HTBA)</w:t>
      </w:r>
      <w:r>
        <w:rPr>
          <w:rFonts w:hint="eastAsia"/>
        </w:rPr>
        <w:t>[9]</w:t>
      </w:r>
      <w:r>
        <w:rPr>
          <w:rFonts w:hint="eastAsia"/>
        </w:rPr>
        <w:t>：通过在特征空间中最小化投毒目标类样本与带有触发器的非目标类样本之间的距离，实现触发器的隐式关联。</w:t>
      </w:r>
    </w:p>
    <w:p w14:paraId="69D7C4A1" w14:textId="77777777" w:rsidR="00426235" w:rsidRDefault="00000000" w:rsidP="002A5FAC">
      <w:pPr>
        <w:pStyle w:val="a0"/>
        <w:ind w:firstLine="480"/>
      </w:pPr>
      <w:r>
        <w:rPr>
          <w:b/>
          <w:bCs/>
        </w:rPr>
        <w:t>Sleeper Agent Attack (SAA)</w:t>
      </w:r>
      <w:r>
        <w:rPr>
          <w:rFonts w:hint="eastAsia"/>
        </w:rPr>
        <w:t>[10]</w:t>
      </w:r>
      <w:r>
        <w:rPr>
          <w:rFonts w:hint="eastAsia"/>
        </w:rPr>
        <w:t>：通过梯度对齐的方法，使投毒目标类样本的梯度与带有触发器的非目标类样本的梯度一致。</w:t>
      </w:r>
    </w:p>
    <w:p w14:paraId="159F4050" w14:textId="77777777" w:rsidR="00426235" w:rsidRDefault="00000000" w:rsidP="002A5FAC">
      <w:pPr>
        <w:pStyle w:val="a0"/>
        <w:ind w:firstLine="480"/>
      </w:pPr>
      <w:r>
        <w:rPr>
          <w:rFonts w:hint="eastAsia"/>
        </w:rPr>
        <w:t>这些方法虽然各有优势，但都需要了解非目标类样本的信息，这在实际应用中往往难以满足。</w:t>
      </w:r>
    </w:p>
    <w:p w14:paraId="1972FF27" w14:textId="6AAE8889" w:rsidR="00426235" w:rsidRDefault="00000000">
      <w:pPr>
        <w:pStyle w:val="3"/>
      </w:pPr>
      <w:bookmarkStart w:id="9" w:name="narcissus攻击方法"/>
      <w:bookmarkEnd w:id="8"/>
      <w:r>
        <w:t>3</w:t>
      </w:r>
      <w:r w:rsidR="00E97D74">
        <w:rPr>
          <w:rFonts w:hint="eastAsia"/>
        </w:rPr>
        <w:t>.</w:t>
      </w:r>
      <w:r>
        <w:t xml:space="preserve"> </w:t>
      </w:r>
      <w:r>
        <w:rPr>
          <w:rFonts w:hint="eastAsia"/>
        </w:rPr>
        <w:t>NARCISSUS</w:t>
      </w:r>
      <w:r>
        <w:rPr>
          <w:rFonts w:hint="eastAsia"/>
        </w:rPr>
        <w:t>攻击方法</w:t>
      </w:r>
    </w:p>
    <w:p w14:paraId="6BB33695" w14:textId="77777777" w:rsidR="00426235" w:rsidRDefault="00000000" w:rsidP="00921967">
      <w:pPr>
        <w:pStyle w:val="FirstParagraph"/>
        <w:ind w:firstLine="480"/>
      </w:pPr>
      <w:r>
        <w:rPr>
          <w:rFonts w:hint="eastAsia"/>
        </w:rPr>
        <w:t>NARCISSUS[8]</w:t>
      </w:r>
      <w:r>
        <w:rPr>
          <w:rFonts w:hint="eastAsia"/>
        </w:rPr>
        <w:t>是一种仅需要目标类数据即可实施的清洁标签后门攻击方法。其核心思想是优化触发器使其指向目标类内部（</w:t>
      </w:r>
      <w:r>
        <w:rPr>
          <w:rFonts w:hint="eastAsia"/>
        </w:rPr>
        <w:t>inward-pointing</w:t>
      </w:r>
      <w:r>
        <w:rPr>
          <w:rFonts w:hint="eastAsia"/>
        </w:rPr>
        <w:t>），而非任意选择触发器。</w:t>
      </w:r>
    </w:p>
    <w:p w14:paraId="5541F3E7" w14:textId="77777777" w:rsidR="00426235" w:rsidRDefault="00000000" w:rsidP="00921967">
      <w:pPr>
        <w:pStyle w:val="a0"/>
        <w:ind w:firstLine="480"/>
      </w:pPr>
      <w:r>
        <w:rPr>
          <w:rFonts w:hint="eastAsia"/>
        </w:rPr>
        <w:t>NARCISSUS</w:t>
      </w:r>
      <w:r>
        <w:rPr>
          <w:rFonts w:hint="eastAsia"/>
        </w:rPr>
        <w:t>的攻击流程包括四个主要步骤：</w:t>
      </w:r>
    </w:p>
    <w:p w14:paraId="5E36D5D5" w14:textId="77777777" w:rsidR="00426235" w:rsidRDefault="00000000" w:rsidP="00921967">
      <w:pPr>
        <w:pStyle w:val="a0"/>
        <w:ind w:firstLine="480"/>
      </w:pPr>
      <w:r>
        <w:rPr>
          <w:rFonts w:hint="eastAsia"/>
          <w:b/>
          <w:bCs/>
        </w:rPr>
        <w:t>步骤</w:t>
      </w:r>
      <w:r>
        <w:rPr>
          <w:rFonts w:hint="eastAsia"/>
          <w:b/>
          <w:bCs/>
        </w:rPr>
        <w:t>1</w:t>
      </w:r>
      <w:r>
        <w:rPr>
          <w:b/>
          <w:bCs/>
        </w:rPr>
        <w:t xml:space="preserve"> - Poi-warm-up</w:t>
      </w:r>
      <w:r>
        <w:rPr>
          <w:rFonts w:hint="eastAsia"/>
        </w:rPr>
        <w:t>：使用公开的分布外数据（</w:t>
      </w:r>
      <w:r>
        <w:rPr>
          <w:rFonts w:hint="eastAsia"/>
        </w:rPr>
        <w:t>Public</w:t>
      </w:r>
      <w:r>
        <w:t xml:space="preserve"> Out-of-Distribution, </w:t>
      </w:r>
      <w:r>
        <w:rPr>
          <w:rFonts w:hint="eastAsia"/>
        </w:rPr>
        <w:t>POOD</w:t>
      </w:r>
      <w:r>
        <w:rPr>
          <w:rFonts w:hint="eastAsia"/>
        </w:rPr>
        <w:t>）预训练模型，然后在目标类数据上进行微调，得到替代模型。</w:t>
      </w:r>
    </w:p>
    <w:p w14:paraId="78B64250" w14:textId="77777777" w:rsidR="00426235" w:rsidRDefault="00000000" w:rsidP="00921967">
      <w:pPr>
        <w:pStyle w:val="a0"/>
        <w:ind w:firstLine="480"/>
      </w:pPr>
      <w:r>
        <w:rPr>
          <w:rFonts w:hint="eastAsia"/>
          <w:b/>
          <w:bCs/>
        </w:rPr>
        <w:t>步骤</w:t>
      </w:r>
      <w:r>
        <w:rPr>
          <w:rFonts w:hint="eastAsia"/>
          <w:b/>
          <w:bCs/>
        </w:rPr>
        <w:t>2</w:t>
      </w:r>
      <w:r>
        <w:rPr>
          <w:b/>
          <w:bCs/>
        </w:rPr>
        <w:t xml:space="preserve"> - Trigger-Generation</w:t>
      </w:r>
      <w:r>
        <w:rPr>
          <w:rFonts w:hint="eastAsia"/>
        </w:rPr>
        <w:t>：利用替代模型，通过优化以下目标函数生成触发器：</w:t>
      </w:r>
    </w:p>
    <w:p w14:paraId="031AF386" w14:textId="77777777" w:rsidR="00426235" w:rsidRDefault="00000000">
      <w:pPr>
        <w:pStyle w:val="a0"/>
      </w:pPr>
      <m:oMathPara>
        <m:oMathParaPr>
          <m:jc m:val="center"/>
        </m:oMathParaPr>
        <m:oMath>
          <m:sSup>
            <m:sSupPr>
              <m:ctrlPr>
                <w:rPr>
                  <w:rFonts w:ascii="Cambria Math" w:hAnsi="Cambria Math"/>
                </w:rPr>
              </m:ctrlPr>
            </m:sSupPr>
            <m:e>
              <m:r>
                <w:rPr>
                  <w:rFonts w:ascii="Cambria Math" w:hAnsi="Cambria Math"/>
                </w:rPr>
                <m:t>δ</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r>
                <m:rPr>
                  <m:sty m:val="p"/>
                </m:rPr>
                <w:rPr>
                  <w:rFonts w:ascii="Cambria Math" w:hAnsi="Cambria Math"/>
                </w:rPr>
                <m:t>∈Δ</m:t>
              </m:r>
            </m:lim>
          </m:limLow>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b>
            <m:sup>
              <m:r>
                <w:rPr>
                  <w:rFonts w:ascii="Cambria Math" w:hAnsi="Cambria Math"/>
                </w:rPr>
                <m:t>​</m:t>
              </m:r>
            </m:sup>
            <m:e>
              <m:r>
                <m:rPr>
                  <m:scr m:val="script"/>
                  <m:sty m:val="p"/>
                </m:rPr>
                <w:rPr>
                  <w:rFonts w:ascii="Cambria Math" w:hAnsi="Cambria Math"/>
                </w:rPr>
                <m:t>L</m:t>
              </m:r>
            </m:e>
          </m:nary>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w:rPr>
                      <w:rFonts w:ascii="Cambria Math" w:hAnsi="Cambria Math"/>
                    </w:rPr>
                    <m:t>sur</m:t>
                  </m:r>
                </m:sub>
              </m:sSub>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BFD03EB" w14:textId="77777777" w:rsidR="00426235" w:rsidRDefault="00000000">
      <w:pPr>
        <w:pStyle w:val="FirstParagraph"/>
      </w:pPr>
      <w:r>
        <w:rPr>
          <w:rFonts w:hint="eastAsia"/>
        </w:rPr>
        <w:t>其中</w:t>
      </w:r>
      <m:oMath>
        <m:r>
          <m:rPr>
            <m:scr m:val="script"/>
            <m:sty m:val="p"/>
          </m:rPr>
          <w:rPr>
            <w:rFonts w:ascii="Cambria Math" w:hAnsi="Cambria Math"/>
          </w:rPr>
          <m:t>L</m:t>
        </m:r>
      </m:oMath>
      <w:r>
        <w:rPr>
          <w:rFonts w:hint="eastAsia"/>
        </w:rPr>
        <w:t>为交叉熵损失函数，</w:t>
      </w:r>
      <m:oMath>
        <m:r>
          <m:rPr>
            <m:sty m:val="p"/>
          </m:rPr>
          <w:rPr>
            <w:rFonts w:ascii="Cambria Math" w:hAnsi="Cambria Math"/>
          </w:rPr>
          <m:t>Δ</m:t>
        </m:r>
      </m:oMath>
      <w:r>
        <w:rPr>
          <w:rFonts w:hint="eastAsia"/>
        </w:rPr>
        <w:t>为允许的触发器集合（通常为</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Pr>
          <w:rFonts w:hint="eastAsia"/>
        </w:rPr>
        <w:t>范数约束球）。</w:t>
      </w:r>
    </w:p>
    <w:p w14:paraId="748C169A" w14:textId="77777777" w:rsidR="00426235" w:rsidRDefault="00000000" w:rsidP="00921967">
      <w:pPr>
        <w:pStyle w:val="a0"/>
        <w:ind w:firstLine="480"/>
      </w:pPr>
      <w:r>
        <w:rPr>
          <w:rFonts w:hint="eastAsia"/>
          <w:b/>
          <w:bCs/>
        </w:rPr>
        <w:t>步骤</w:t>
      </w:r>
      <w:r>
        <w:rPr>
          <w:rFonts w:hint="eastAsia"/>
          <w:b/>
          <w:bCs/>
        </w:rPr>
        <w:t>3</w:t>
      </w:r>
      <w:r>
        <w:rPr>
          <w:b/>
          <w:bCs/>
        </w:rPr>
        <w:t xml:space="preserve"> - Trigger Insertion</w:t>
      </w:r>
      <w:r>
        <w:rPr>
          <w:rFonts w:hint="eastAsia"/>
        </w:rPr>
        <w:t>：将生成的触发器注入少量目标类样本，保持原始标签不变。</w:t>
      </w:r>
    </w:p>
    <w:p w14:paraId="3D4C06AF" w14:textId="77777777" w:rsidR="00426235" w:rsidRDefault="00000000" w:rsidP="00921967">
      <w:pPr>
        <w:pStyle w:val="a0"/>
        <w:ind w:firstLine="480"/>
      </w:pPr>
      <w:r>
        <w:rPr>
          <w:rFonts w:hint="eastAsia"/>
          <w:b/>
          <w:bCs/>
        </w:rPr>
        <w:t>步骤</w:t>
      </w:r>
      <w:r>
        <w:rPr>
          <w:rFonts w:hint="eastAsia"/>
          <w:b/>
          <w:bCs/>
        </w:rPr>
        <w:t>4</w:t>
      </w:r>
      <w:r>
        <w:rPr>
          <w:b/>
          <w:bCs/>
        </w:rPr>
        <w:t xml:space="preserve"> - Test Query Manipulation</w:t>
      </w:r>
      <w:r>
        <w:rPr>
          <w:rFonts w:hint="eastAsia"/>
        </w:rPr>
        <w:t>：在测试阶段对触发器进行放大（通常放大</w:t>
      </w:r>
      <w:r>
        <w:rPr>
          <w:rFonts w:hint="eastAsia"/>
        </w:rPr>
        <w:t>3</w:t>
      </w:r>
      <w:r>
        <w:rPr>
          <w:rFonts w:hint="eastAsia"/>
        </w:rPr>
        <w:t>倍），以提高攻击成功率。</w:t>
      </w:r>
    </w:p>
    <w:p w14:paraId="28A9416A" w14:textId="77777777" w:rsidR="00426235" w:rsidRDefault="00000000" w:rsidP="00921967">
      <w:pPr>
        <w:pStyle w:val="a0"/>
        <w:ind w:firstLine="480"/>
      </w:pPr>
      <w:r>
        <w:rPr>
          <w:rFonts w:hint="eastAsia"/>
        </w:rPr>
        <w:t>NARCISSUS</w:t>
      </w:r>
      <w:r>
        <w:rPr>
          <w:rFonts w:hint="eastAsia"/>
        </w:rPr>
        <w:t>的关键创新在于触发器优化策略。由于优化目标是使添加触发器后的输入更倾向于被分类为目标类，生成的触发器实际上学习目标类的核心特征，这使得触发器具有很强的泛化能力和转移性。</w:t>
      </w:r>
    </w:p>
    <w:p w14:paraId="003F512F" w14:textId="658385BD" w:rsidR="00426235" w:rsidRDefault="00000000">
      <w:pPr>
        <w:pStyle w:val="3"/>
      </w:pPr>
      <w:bookmarkStart w:id="10" w:name="后门防御研究"/>
      <w:bookmarkEnd w:id="9"/>
      <w:r>
        <w:lastRenderedPageBreak/>
        <w:t>4</w:t>
      </w:r>
      <w:r w:rsidR="0052039C">
        <w:rPr>
          <w:rFonts w:hint="eastAsia"/>
        </w:rPr>
        <w:t>.</w:t>
      </w:r>
      <w:r>
        <w:t xml:space="preserve"> </w:t>
      </w:r>
      <w:r>
        <w:rPr>
          <w:rFonts w:hint="eastAsia"/>
        </w:rPr>
        <w:t>后门防御研究</w:t>
      </w:r>
    </w:p>
    <w:p w14:paraId="181A2B1A" w14:textId="77777777" w:rsidR="00426235" w:rsidRDefault="00000000" w:rsidP="00921967">
      <w:pPr>
        <w:pStyle w:val="FirstParagraph"/>
        <w:ind w:firstLine="480"/>
      </w:pPr>
      <w:r>
        <w:rPr>
          <w:rFonts w:hint="eastAsia"/>
        </w:rPr>
        <w:t>后门防御研究主要分为三大类</w:t>
      </w:r>
      <w:r>
        <w:rPr>
          <w:rFonts w:hint="eastAsia"/>
        </w:rPr>
        <w:t>[11][12][13][14]</w:t>
      </w:r>
      <w:r>
        <w:rPr>
          <w:rFonts w:hint="eastAsia"/>
        </w:rPr>
        <w:t>：</w:t>
      </w:r>
    </w:p>
    <w:p w14:paraId="3EF452AC" w14:textId="77777777" w:rsidR="00426235" w:rsidRDefault="00000000" w:rsidP="00921967">
      <w:pPr>
        <w:pStyle w:val="a0"/>
        <w:ind w:firstLine="480"/>
      </w:pPr>
      <w:r>
        <w:rPr>
          <w:rFonts w:hint="eastAsia"/>
          <w:b/>
          <w:bCs/>
        </w:rPr>
        <w:t>基于模型的后门消除</w:t>
      </w:r>
      <w:r>
        <w:rPr>
          <w:rFonts w:hint="eastAsia"/>
        </w:rPr>
        <w:t>：这类方法在已知触发器的情况下，通过重新训练或微调来消除后门效应，如</w:t>
      </w:r>
      <w:r>
        <w:rPr>
          <w:rFonts w:hint="eastAsia"/>
        </w:rPr>
        <w:t>Fine-Pruning[12]</w:t>
      </w:r>
      <w:r>
        <w:rPr>
          <w:rFonts w:hint="eastAsia"/>
        </w:rPr>
        <w:t>、</w:t>
      </w:r>
      <w:r>
        <w:rPr>
          <w:rFonts w:hint="eastAsia"/>
        </w:rPr>
        <w:t>Neural</w:t>
      </w:r>
      <w:r>
        <w:t xml:space="preserve"> </w:t>
      </w:r>
      <w:r>
        <w:rPr>
          <w:rFonts w:hint="eastAsia"/>
        </w:rPr>
        <w:t>Cleanse[11]</w:t>
      </w:r>
      <w:r>
        <w:rPr>
          <w:rFonts w:hint="eastAsia"/>
        </w:rPr>
        <w:t>等。</w:t>
      </w:r>
    </w:p>
    <w:p w14:paraId="3E146A9B" w14:textId="77777777" w:rsidR="00426235" w:rsidRDefault="00000000" w:rsidP="00921967">
      <w:pPr>
        <w:pStyle w:val="a0"/>
        <w:ind w:firstLine="480"/>
      </w:pPr>
      <w:r>
        <w:rPr>
          <w:rFonts w:hint="eastAsia"/>
          <w:b/>
          <w:bCs/>
        </w:rPr>
        <w:t>基于数据的后门检测</w:t>
      </w:r>
      <w:r>
        <w:rPr>
          <w:rFonts w:hint="eastAsia"/>
        </w:rPr>
        <w:t>：这类方法旨在检测训练数据或模型中的投毒样本，如频率域检测</w:t>
      </w:r>
      <w:r>
        <w:rPr>
          <w:rFonts w:hint="eastAsia"/>
        </w:rPr>
        <w:t>[15]</w:t>
      </w:r>
      <w:r>
        <w:rPr>
          <w:rFonts w:hint="eastAsia"/>
        </w:rPr>
        <w:t>、损失值分析</w:t>
      </w:r>
      <w:r>
        <w:rPr>
          <w:rFonts w:hint="eastAsia"/>
        </w:rPr>
        <w:t>[14]</w:t>
      </w:r>
      <w:r>
        <w:rPr>
          <w:rFonts w:hint="eastAsia"/>
        </w:rPr>
        <w:t>等。</w:t>
      </w:r>
    </w:p>
    <w:p w14:paraId="304A8B5C" w14:textId="77777777" w:rsidR="00426235" w:rsidRDefault="00000000" w:rsidP="00921967">
      <w:pPr>
        <w:pStyle w:val="a0"/>
        <w:ind w:firstLine="480"/>
      </w:pPr>
      <w:r>
        <w:rPr>
          <w:rFonts w:hint="eastAsia"/>
          <w:b/>
          <w:bCs/>
        </w:rPr>
        <w:t>基于鲁棒训练的防御</w:t>
      </w:r>
      <w:r>
        <w:rPr>
          <w:rFonts w:hint="eastAsia"/>
        </w:rPr>
        <w:t>：这类方法通过改进训练过程来抵御后门攻击，如</w:t>
      </w:r>
      <w:r>
        <w:rPr>
          <w:rFonts w:hint="eastAsia"/>
        </w:rPr>
        <w:t>Anti-Backdoor</w:t>
      </w:r>
      <w:r>
        <w:t xml:space="preserve"> </w:t>
      </w:r>
      <w:r>
        <w:rPr>
          <w:rFonts w:hint="eastAsia"/>
        </w:rPr>
        <w:t>Learning[14]</w:t>
      </w:r>
      <w:r>
        <w:rPr>
          <w:rFonts w:hint="eastAsia"/>
        </w:rPr>
        <w:t>等。</w:t>
      </w:r>
    </w:p>
    <w:p w14:paraId="0DFCEE75" w14:textId="40356428" w:rsidR="00426235" w:rsidRDefault="00000000" w:rsidP="00921967">
      <w:pPr>
        <w:pStyle w:val="a0"/>
        <w:ind w:firstLine="480"/>
      </w:pPr>
      <w:r>
        <w:rPr>
          <w:rFonts w:hint="eastAsia"/>
        </w:rPr>
        <w:t>然而，原始论文的实验表明，</w:t>
      </w:r>
      <w:r>
        <w:rPr>
          <w:rFonts w:hint="eastAsia"/>
        </w:rPr>
        <w:t>NARCISSUS</w:t>
      </w:r>
      <w:r>
        <w:rPr>
          <w:rFonts w:hint="eastAsia"/>
        </w:rPr>
        <w:t>对这些防御方法都具有较强的抵抗能力，这进一步凸显了研究其转移性的重要性。</w:t>
      </w:r>
    </w:p>
    <w:p w14:paraId="3B54BD25" w14:textId="77777777" w:rsidR="00426235" w:rsidRDefault="00000000">
      <w:pPr>
        <w:pStyle w:val="2"/>
      </w:pPr>
      <w:bookmarkStart w:id="11" w:name="三narcissus触发器可转移性分析"/>
      <w:bookmarkEnd w:id="6"/>
      <w:bookmarkEnd w:id="10"/>
      <w:r>
        <w:rPr>
          <w:rFonts w:hint="eastAsia"/>
        </w:rPr>
        <w:t>三、</w:t>
      </w:r>
      <w:r>
        <w:rPr>
          <w:rFonts w:hint="eastAsia"/>
        </w:rPr>
        <w:t>NARCISSUS</w:t>
      </w:r>
      <w:r>
        <w:rPr>
          <w:rFonts w:hint="eastAsia"/>
        </w:rPr>
        <w:t>触发器可转移性分析</w:t>
      </w:r>
    </w:p>
    <w:p w14:paraId="3CE90896" w14:textId="2D0A6BCA" w:rsidR="00426235" w:rsidRDefault="00000000">
      <w:pPr>
        <w:pStyle w:val="3"/>
      </w:pPr>
      <w:bookmarkStart w:id="12" w:name="转移性实验设置"/>
      <w:r>
        <w:t>1</w:t>
      </w:r>
      <w:r w:rsidR="00630344">
        <w:rPr>
          <w:rFonts w:hint="eastAsia"/>
        </w:rPr>
        <w:t>.</w:t>
      </w:r>
      <w:r>
        <w:t xml:space="preserve"> </w:t>
      </w:r>
      <w:r>
        <w:rPr>
          <w:rFonts w:hint="eastAsia"/>
        </w:rPr>
        <w:t>转移性实验设置</w:t>
      </w:r>
    </w:p>
    <w:p w14:paraId="52FB3BA8" w14:textId="77777777" w:rsidR="00426235" w:rsidRDefault="00000000" w:rsidP="00057E03">
      <w:pPr>
        <w:pStyle w:val="FirstParagraph"/>
        <w:ind w:firstLine="480"/>
      </w:pPr>
      <w:r>
        <w:rPr>
          <w:rFonts w:hint="eastAsia"/>
        </w:rPr>
        <w:t>在原始论文的</w:t>
      </w:r>
      <w:r>
        <w:rPr>
          <w:rFonts w:hint="eastAsia"/>
        </w:rPr>
        <w:t>Table</w:t>
      </w:r>
      <w:r>
        <w:t xml:space="preserve"> </w:t>
      </w:r>
      <w:r>
        <w:rPr>
          <w:rFonts w:hint="eastAsia"/>
        </w:rPr>
        <w:t>5</w:t>
      </w:r>
      <w:r>
        <w:rPr>
          <w:rFonts w:hint="eastAsia"/>
        </w:rPr>
        <w:t>中，作者展示了使用不同替代模型</w:t>
      </w:r>
      <w:r>
        <w:rPr>
          <w:rFonts w:hint="eastAsia"/>
        </w:rPr>
        <w:t>-</w:t>
      </w:r>
      <w:r>
        <w:rPr>
          <w:rFonts w:hint="eastAsia"/>
        </w:rPr>
        <w:t>目标模型对（</w:t>
      </w:r>
      <w:r>
        <w:rPr>
          <w:rFonts w:hint="eastAsia"/>
        </w:rPr>
        <w:t>Surrogate-Target</w:t>
      </w:r>
      <w:r>
        <w:t xml:space="preserve"> </w:t>
      </w:r>
      <w:r>
        <w:rPr>
          <w:rFonts w:hint="eastAsia"/>
        </w:rPr>
        <w:t>Pair</w:t>
      </w:r>
      <w:r>
        <w:rPr>
          <w:rFonts w:hint="eastAsia"/>
        </w:rPr>
        <w:t>）的攻击成功率（</w:t>
      </w:r>
      <w:r>
        <w:rPr>
          <w:rFonts w:hint="eastAsia"/>
        </w:rPr>
        <w:t>ASR</w:t>
      </w:r>
      <w:r>
        <w:rPr>
          <w:rFonts w:hint="eastAsia"/>
        </w:rPr>
        <w:t>）实验结果。实验在</w:t>
      </w:r>
      <w:r>
        <w:rPr>
          <w:rFonts w:hint="eastAsia"/>
        </w:rPr>
        <w:t>CIFAR-10</w:t>
      </w:r>
      <w:r>
        <w:rPr>
          <w:rFonts w:hint="eastAsia"/>
        </w:rPr>
        <w:t>数据集上进行，投毒率为</w:t>
      </w:r>
      <w:r>
        <w:rPr>
          <w:rFonts w:hint="eastAsia"/>
        </w:rPr>
        <w:t>0.05%</w:t>
      </w:r>
      <w:r>
        <w:rPr>
          <w:rFonts w:hint="eastAsia"/>
        </w:rPr>
        <w:t>。被测试的模型架构包括：</w:t>
      </w:r>
      <w:r>
        <w:rPr>
          <w:rFonts w:hint="eastAsia"/>
        </w:rPr>
        <w:t>ResNet-18[16]</w:t>
      </w:r>
      <w:r>
        <w:rPr>
          <w:rFonts w:hint="eastAsia"/>
        </w:rPr>
        <w:t>、</w:t>
      </w:r>
      <w:r>
        <w:rPr>
          <w:rFonts w:hint="eastAsia"/>
        </w:rPr>
        <w:t>GoogLeNet[17]</w:t>
      </w:r>
      <w:r>
        <w:rPr>
          <w:rFonts w:hint="eastAsia"/>
        </w:rPr>
        <w:t>和</w:t>
      </w:r>
      <w:r>
        <w:rPr>
          <w:rFonts w:hint="eastAsia"/>
        </w:rPr>
        <w:t>EfficientNet-B0[2]</w:t>
      </w:r>
      <w:r>
        <w:rPr>
          <w:rFonts w:hint="eastAsia"/>
        </w:rPr>
        <w:t>。</w:t>
      </w:r>
    </w:p>
    <w:p w14:paraId="0B2C7BB8" w14:textId="77777777" w:rsidR="00426235" w:rsidRDefault="00000000" w:rsidP="00057E03">
      <w:pPr>
        <w:pStyle w:val="a0"/>
        <w:ind w:firstLine="480"/>
      </w:pPr>
      <w:r>
        <w:rPr>
          <w:rFonts w:hint="eastAsia"/>
        </w:rPr>
        <w:t>该实验设置为我们分析</w:t>
      </w:r>
      <w:r>
        <w:rPr>
          <w:rFonts w:hint="eastAsia"/>
        </w:rPr>
        <w:t>NARCISSUS</w:t>
      </w:r>
      <w:r>
        <w:rPr>
          <w:rFonts w:hint="eastAsia"/>
        </w:rPr>
        <w:t>触发器的跨架构转移性提供了宝贵的数据基础。转移性是指在一个模型（替代模型）上生成的触发器，在另一个不同架构的模型（目标模型）上仍然能够保持较高攻击成功率的能力。</w:t>
      </w:r>
    </w:p>
    <w:p w14:paraId="3A7B63CC" w14:textId="0516AC2A" w:rsidR="008D20F0" w:rsidRDefault="00000000" w:rsidP="009E594B">
      <w:pPr>
        <w:pStyle w:val="3"/>
      </w:pPr>
      <w:bookmarkStart w:id="13" w:name="转移性矩阵分析"/>
      <w:bookmarkEnd w:id="12"/>
      <w:r>
        <w:lastRenderedPageBreak/>
        <w:t>2</w:t>
      </w:r>
      <w:r w:rsidR="00502934">
        <w:rPr>
          <w:rFonts w:hint="eastAsia"/>
        </w:rPr>
        <w:t>.</w:t>
      </w:r>
      <w:r>
        <w:t xml:space="preserve"> </w:t>
      </w:r>
      <w:r>
        <w:rPr>
          <w:rFonts w:hint="eastAsia"/>
        </w:rPr>
        <w:t>转移性矩阵分析</w:t>
      </w:r>
    </w:p>
    <w:p w14:paraId="5497FF6F" w14:textId="09CBD1D4" w:rsidR="00426235" w:rsidRPr="000E73AB" w:rsidRDefault="00000000" w:rsidP="00826C84">
      <w:pPr>
        <w:pStyle w:val="FirstParagraph"/>
      </w:pPr>
      <w:r>
        <w:rPr>
          <w:rFonts w:hint="eastAsia"/>
        </w:rPr>
        <w:t>基于原始论文</w:t>
      </w:r>
      <w:r>
        <w:rPr>
          <w:rFonts w:hint="eastAsia"/>
        </w:rPr>
        <w:t>Table</w:t>
      </w:r>
      <w:r>
        <w:t xml:space="preserve"> </w:t>
      </w:r>
      <w:r>
        <w:rPr>
          <w:rFonts w:hint="eastAsia"/>
        </w:rPr>
        <w:t>5</w:t>
      </w:r>
      <w:r>
        <w:rPr>
          <w:rFonts w:hint="eastAsia"/>
        </w:rPr>
        <w:t>的数据，我们可以构建以下转移性矩阵：</w:t>
      </w:r>
      <w:r w:rsidR="009E594B">
        <w:rPr>
          <w:noProof/>
        </w:rPr>
        <w:drawing>
          <wp:inline distT="0" distB="0" distL="0" distR="0" wp14:anchorId="6B3D5C02" wp14:editId="4762C030">
            <wp:extent cx="4197350" cy="3714750"/>
            <wp:effectExtent l="0" t="0" r="0" b="0"/>
            <wp:docPr id="21" name="Picture" descr="77192216171"/>
            <wp:cNvGraphicFramePr/>
            <a:graphic xmlns:a="http://schemas.openxmlformats.org/drawingml/2006/main">
              <a:graphicData uri="http://schemas.openxmlformats.org/drawingml/2006/picture">
                <pic:pic xmlns:pic="http://schemas.openxmlformats.org/drawingml/2006/picture">
                  <pic:nvPicPr>
                    <pic:cNvPr id="22" name="Picture" descr="C:\Users\廖镇泉\AppData\Local\Temp\1771922161713.png"/>
                    <pic:cNvPicPr>
                      <a:picLocks noChangeAspect="1" noChangeArrowheads="1"/>
                    </pic:cNvPicPr>
                  </pic:nvPicPr>
                  <pic:blipFill>
                    <a:blip r:embed="rId8"/>
                    <a:stretch>
                      <a:fillRect/>
                    </a:stretch>
                  </pic:blipFill>
                  <pic:spPr bwMode="auto">
                    <a:xfrm>
                      <a:off x="0" y="0"/>
                      <a:ext cx="4197891" cy="3715229"/>
                    </a:xfrm>
                    <a:prstGeom prst="rect">
                      <a:avLst/>
                    </a:prstGeom>
                    <a:noFill/>
                    <a:ln w="9525">
                      <a:noFill/>
                      <a:headEnd/>
                      <a:tailEnd/>
                    </a:ln>
                  </pic:spPr>
                </pic:pic>
              </a:graphicData>
            </a:graphic>
          </wp:inline>
        </w:drawing>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2234"/>
        <w:gridCol w:w="1317"/>
        <w:gridCol w:w="1387"/>
        <w:gridCol w:w="1800"/>
      </w:tblGrid>
      <w:tr w:rsidR="00426235" w14:paraId="023C59B4" w14:textId="77777777" w:rsidTr="009E594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2F30C5" w14:textId="77777777" w:rsidR="00426235" w:rsidRDefault="00000000">
            <w:pPr>
              <w:pStyle w:val="Compact"/>
              <w:jc w:val="center"/>
            </w:pPr>
            <w:r>
              <w:rPr>
                <w:rFonts w:hint="eastAsia"/>
              </w:rPr>
              <w:t>替代模型</w:t>
            </w:r>
            <w:r>
              <w:t xml:space="preserve">  </w:t>
            </w:r>
            <w:r>
              <w:rPr>
                <w:rFonts w:hint="eastAsia"/>
              </w:rPr>
              <w:t>目标模型</w:t>
            </w:r>
          </w:p>
        </w:tc>
        <w:tc>
          <w:tcPr>
            <w:tcW w:w="0" w:type="auto"/>
            <w:tcBorders>
              <w:bottom w:val="none" w:sz="0" w:space="0" w:color="auto"/>
            </w:tcBorders>
          </w:tcPr>
          <w:p w14:paraId="3B6EE18A" w14:textId="77777777" w:rsidR="00426235" w:rsidRDefault="00000000">
            <w:pPr>
              <w:pStyle w:val="Compact"/>
              <w:jc w:val="center"/>
            </w:pPr>
            <w:r>
              <w:t>ResNet-18</w:t>
            </w:r>
          </w:p>
        </w:tc>
        <w:tc>
          <w:tcPr>
            <w:tcW w:w="0" w:type="auto"/>
            <w:tcBorders>
              <w:bottom w:val="none" w:sz="0" w:space="0" w:color="auto"/>
            </w:tcBorders>
          </w:tcPr>
          <w:p w14:paraId="27CF3B28" w14:textId="77777777" w:rsidR="00426235" w:rsidRDefault="00000000">
            <w:pPr>
              <w:pStyle w:val="Compact"/>
              <w:jc w:val="center"/>
            </w:pPr>
            <w:r>
              <w:t>GoogLeNet</w:t>
            </w:r>
          </w:p>
        </w:tc>
        <w:tc>
          <w:tcPr>
            <w:tcW w:w="0" w:type="auto"/>
            <w:tcBorders>
              <w:bottom w:val="none" w:sz="0" w:space="0" w:color="auto"/>
            </w:tcBorders>
          </w:tcPr>
          <w:p w14:paraId="541D4712" w14:textId="77777777" w:rsidR="00426235" w:rsidRDefault="00000000">
            <w:pPr>
              <w:pStyle w:val="Compact"/>
              <w:jc w:val="center"/>
            </w:pPr>
            <w:r>
              <w:t>EfficientNet-B0</w:t>
            </w:r>
          </w:p>
        </w:tc>
      </w:tr>
      <w:tr w:rsidR="00426235" w14:paraId="47252C6A" w14:textId="77777777" w:rsidTr="009E594B">
        <w:tc>
          <w:tcPr>
            <w:tcW w:w="0" w:type="auto"/>
          </w:tcPr>
          <w:p w14:paraId="604A11E6" w14:textId="77777777" w:rsidR="00426235" w:rsidRDefault="00000000">
            <w:pPr>
              <w:pStyle w:val="Compact"/>
              <w:jc w:val="center"/>
            </w:pPr>
            <w:r>
              <w:rPr>
                <w:b/>
                <w:bCs/>
              </w:rPr>
              <w:t>ResNet-18</w:t>
            </w:r>
          </w:p>
        </w:tc>
        <w:tc>
          <w:tcPr>
            <w:tcW w:w="0" w:type="auto"/>
          </w:tcPr>
          <w:p w14:paraId="149D97A6" w14:textId="77777777" w:rsidR="00426235" w:rsidRDefault="00000000">
            <w:pPr>
              <w:pStyle w:val="Compact"/>
              <w:jc w:val="center"/>
            </w:pPr>
            <w:r>
              <w:t>97.36%</w:t>
            </w:r>
          </w:p>
        </w:tc>
        <w:tc>
          <w:tcPr>
            <w:tcW w:w="0" w:type="auto"/>
          </w:tcPr>
          <w:p w14:paraId="7CCF85C8" w14:textId="77777777" w:rsidR="00426235" w:rsidRDefault="00000000">
            <w:pPr>
              <w:pStyle w:val="Compact"/>
              <w:jc w:val="center"/>
            </w:pPr>
            <w:r>
              <w:t>99.55%</w:t>
            </w:r>
          </w:p>
        </w:tc>
        <w:tc>
          <w:tcPr>
            <w:tcW w:w="0" w:type="auto"/>
          </w:tcPr>
          <w:p w14:paraId="404C38A0" w14:textId="77777777" w:rsidR="00426235" w:rsidRDefault="00000000">
            <w:pPr>
              <w:pStyle w:val="Compact"/>
              <w:jc w:val="center"/>
            </w:pPr>
            <w:r>
              <w:t>99.97%</w:t>
            </w:r>
          </w:p>
        </w:tc>
      </w:tr>
      <w:tr w:rsidR="00426235" w14:paraId="409D0801" w14:textId="77777777" w:rsidTr="009E594B">
        <w:tc>
          <w:tcPr>
            <w:tcW w:w="0" w:type="auto"/>
          </w:tcPr>
          <w:p w14:paraId="7825B3A0" w14:textId="77777777" w:rsidR="00426235" w:rsidRDefault="00000000">
            <w:pPr>
              <w:pStyle w:val="Compact"/>
              <w:jc w:val="center"/>
            </w:pPr>
            <w:r>
              <w:rPr>
                <w:b/>
                <w:bCs/>
              </w:rPr>
              <w:t>GoogLeNet</w:t>
            </w:r>
          </w:p>
        </w:tc>
        <w:tc>
          <w:tcPr>
            <w:tcW w:w="0" w:type="auto"/>
          </w:tcPr>
          <w:p w14:paraId="5968E826" w14:textId="77777777" w:rsidR="00426235" w:rsidRDefault="00000000">
            <w:pPr>
              <w:pStyle w:val="Compact"/>
              <w:jc w:val="center"/>
            </w:pPr>
            <w:r>
              <w:t>99.50%</w:t>
            </w:r>
          </w:p>
        </w:tc>
        <w:tc>
          <w:tcPr>
            <w:tcW w:w="0" w:type="auto"/>
          </w:tcPr>
          <w:p w14:paraId="289EF0B8" w14:textId="77777777" w:rsidR="00426235" w:rsidRDefault="00000000">
            <w:pPr>
              <w:pStyle w:val="Compact"/>
              <w:jc w:val="center"/>
            </w:pPr>
            <w:r>
              <w:t>100.00%</w:t>
            </w:r>
          </w:p>
        </w:tc>
        <w:tc>
          <w:tcPr>
            <w:tcW w:w="0" w:type="auto"/>
          </w:tcPr>
          <w:p w14:paraId="7485806F" w14:textId="77777777" w:rsidR="00426235" w:rsidRDefault="00000000">
            <w:pPr>
              <w:pStyle w:val="Compact"/>
              <w:jc w:val="center"/>
            </w:pPr>
            <w:r>
              <w:t>100.00%</w:t>
            </w:r>
          </w:p>
        </w:tc>
      </w:tr>
      <w:tr w:rsidR="00426235" w14:paraId="3C2D4258" w14:textId="77777777" w:rsidTr="009E594B">
        <w:tc>
          <w:tcPr>
            <w:tcW w:w="0" w:type="auto"/>
          </w:tcPr>
          <w:p w14:paraId="6348D492" w14:textId="77777777" w:rsidR="00426235" w:rsidRDefault="00000000">
            <w:pPr>
              <w:pStyle w:val="Compact"/>
              <w:jc w:val="center"/>
            </w:pPr>
            <w:r>
              <w:rPr>
                <w:b/>
                <w:bCs/>
              </w:rPr>
              <w:t>EfficientNet-B0</w:t>
            </w:r>
          </w:p>
        </w:tc>
        <w:tc>
          <w:tcPr>
            <w:tcW w:w="0" w:type="auto"/>
          </w:tcPr>
          <w:p w14:paraId="7C0FC671" w14:textId="77777777" w:rsidR="00426235" w:rsidRDefault="00000000">
            <w:pPr>
              <w:pStyle w:val="Compact"/>
              <w:jc w:val="center"/>
            </w:pPr>
            <w:r>
              <w:t>82.05%</w:t>
            </w:r>
          </w:p>
        </w:tc>
        <w:tc>
          <w:tcPr>
            <w:tcW w:w="0" w:type="auto"/>
          </w:tcPr>
          <w:p w14:paraId="043CE25A" w14:textId="77777777" w:rsidR="00426235" w:rsidRDefault="00000000">
            <w:pPr>
              <w:pStyle w:val="Compact"/>
              <w:jc w:val="center"/>
            </w:pPr>
            <w:r>
              <w:t>100.00%</w:t>
            </w:r>
          </w:p>
        </w:tc>
        <w:tc>
          <w:tcPr>
            <w:tcW w:w="0" w:type="auto"/>
          </w:tcPr>
          <w:p w14:paraId="2EC44F91" w14:textId="77777777" w:rsidR="00426235" w:rsidRDefault="00000000">
            <w:pPr>
              <w:pStyle w:val="Compact"/>
              <w:jc w:val="center"/>
            </w:pPr>
            <w:r>
              <w:t>87.82%</w:t>
            </w:r>
          </w:p>
        </w:tc>
      </w:tr>
    </w:tbl>
    <w:p w14:paraId="2F570D8D" w14:textId="77777777" w:rsidR="00426235" w:rsidRDefault="00000000" w:rsidP="00826C84">
      <w:pPr>
        <w:pStyle w:val="a0"/>
        <w:ind w:firstLine="480"/>
      </w:pPr>
      <w:r>
        <w:rPr>
          <w:rFonts w:hint="eastAsia"/>
          <w:b/>
          <w:bCs/>
        </w:rPr>
        <w:t>表</w:t>
      </w:r>
      <w:r>
        <w:rPr>
          <w:rFonts w:hint="eastAsia"/>
          <w:b/>
          <w:bCs/>
        </w:rPr>
        <w:t>1</w:t>
      </w:r>
      <w:r>
        <w:rPr>
          <w:rFonts w:hint="eastAsia"/>
          <w:b/>
          <w:bCs/>
        </w:rPr>
        <w:t>：</w:t>
      </w:r>
      <w:r>
        <w:rPr>
          <w:rFonts w:hint="eastAsia"/>
          <w:b/>
          <w:bCs/>
        </w:rPr>
        <w:t>NARCISSUS</w:t>
      </w:r>
      <w:r>
        <w:rPr>
          <w:rFonts w:hint="eastAsia"/>
          <w:b/>
          <w:bCs/>
        </w:rPr>
        <w:t>触发器跨架构转移性矩阵（</w:t>
      </w:r>
      <w:r>
        <w:rPr>
          <w:rFonts w:hint="eastAsia"/>
          <w:b/>
          <w:bCs/>
        </w:rPr>
        <w:t>ASR%</w:t>
      </w:r>
      <w:r>
        <w:rPr>
          <w:rFonts w:hint="eastAsia"/>
          <w:b/>
          <w:bCs/>
        </w:rPr>
        <w:t>）</w:t>
      </w:r>
    </w:p>
    <w:p w14:paraId="39AF9D0F" w14:textId="77777777" w:rsidR="00426235" w:rsidRDefault="00000000" w:rsidP="00826C84">
      <w:pPr>
        <w:pStyle w:val="a0"/>
      </w:pPr>
      <w:r>
        <w:rPr>
          <w:rFonts w:hint="eastAsia"/>
        </w:rPr>
        <w:t>从表中我们可以观察到几个重要现象：</w:t>
      </w:r>
    </w:p>
    <w:p w14:paraId="21292331" w14:textId="77777777" w:rsidR="00426235" w:rsidRDefault="00000000" w:rsidP="00826C84">
      <w:pPr>
        <w:pStyle w:val="a0"/>
        <w:ind w:firstLine="480"/>
      </w:pPr>
      <w:r>
        <w:rPr>
          <w:rFonts w:hint="eastAsia"/>
          <w:b/>
          <w:bCs/>
        </w:rPr>
        <w:t>现象</w:t>
      </w:r>
      <w:r>
        <w:rPr>
          <w:rFonts w:hint="eastAsia"/>
          <w:b/>
          <w:bCs/>
        </w:rPr>
        <w:t>1</w:t>
      </w:r>
      <w:r>
        <w:rPr>
          <w:rFonts w:hint="eastAsia"/>
          <w:b/>
          <w:bCs/>
        </w:rPr>
        <w:t>：跨架构转移性普遍较高</w:t>
      </w:r>
    </w:p>
    <w:p w14:paraId="4237C101" w14:textId="77777777" w:rsidR="00426235" w:rsidRDefault="00000000" w:rsidP="00AD27E9">
      <w:pPr>
        <w:pStyle w:val="a0"/>
        <w:ind w:firstLine="480"/>
      </w:pPr>
      <w:r>
        <w:rPr>
          <w:rFonts w:hint="eastAsia"/>
        </w:rPr>
        <w:t>除了</w:t>
      </w:r>
      <w:r>
        <w:rPr>
          <w:rFonts w:hint="eastAsia"/>
        </w:rPr>
        <w:t>EfficientNet-B0</w:t>
      </w:r>
      <w:r>
        <w:rPr>
          <w:rFonts w:hint="eastAsia"/>
        </w:rPr>
        <w:t>作为替代模型到</w:t>
      </w:r>
      <w:r>
        <w:rPr>
          <w:rFonts w:hint="eastAsia"/>
        </w:rPr>
        <w:t>ResNet-18</w:t>
      </w:r>
      <w:r>
        <w:rPr>
          <w:rFonts w:hint="eastAsia"/>
        </w:rPr>
        <w:t>的情况外，大多数替代模型</w:t>
      </w:r>
      <w:r>
        <w:rPr>
          <w:rFonts w:hint="eastAsia"/>
        </w:rPr>
        <w:t>-</w:t>
      </w:r>
      <w:r>
        <w:rPr>
          <w:rFonts w:hint="eastAsia"/>
        </w:rPr>
        <w:t>目标模型组合都达到了极高的攻击成功率。平均跨架构转移成功率高达</w:t>
      </w:r>
      <w:r>
        <w:rPr>
          <w:rFonts w:hint="eastAsia"/>
        </w:rPr>
        <w:t>96.84%</w:t>
      </w:r>
      <w:r>
        <w:rPr>
          <w:rFonts w:hint="eastAsia"/>
        </w:rPr>
        <w:t>，甚至高于同架构（</w:t>
      </w:r>
      <w:r>
        <w:rPr>
          <w:rFonts w:hint="eastAsia"/>
        </w:rPr>
        <w:t>97.36%</w:t>
      </w:r>
      <w:r>
        <w:rPr>
          <w:rFonts w:hint="eastAsia"/>
        </w:rPr>
        <w:t>）的攻击成功率。这一发现出乎意料，表明</w:t>
      </w:r>
      <w:r>
        <w:rPr>
          <w:rFonts w:hint="eastAsia"/>
        </w:rPr>
        <w:t>NARCISSUS</w:t>
      </w:r>
      <w:r>
        <w:rPr>
          <w:rFonts w:hint="eastAsia"/>
        </w:rPr>
        <w:t>触发生成的特征具有很强的通用性。</w:t>
      </w:r>
    </w:p>
    <w:p w14:paraId="6FF411A9" w14:textId="77777777" w:rsidR="00426235" w:rsidRDefault="00000000" w:rsidP="00AD27E9">
      <w:pPr>
        <w:pStyle w:val="a0"/>
        <w:ind w:firstLine="480"/>
      </w:pPr>
      <w:r>
        <w:rPr>
          <w:rFonts w:hint="eastAsia"/>
          <w:b/>
          <w:bCs/>
        </w:rPr>
        <w:t>现象</w:t>
      </w:r>
      <w:r>
        <w:rPr>
          <w:rFonts w:hint="eastAsia"/>
          <w:b/>
          <w:bCs/>
        </w:rPr>
        <w:t>2</w:t>
      </w:r>
      <w:r>
        <w:rPr>
          <w:rFonts w:hint="eastAsia"/>
          <w:b/>
          <w:bCs/>
        </w:rPr>
        <w:t>：转移性高度对称</w:t>
      </w:r>
    </w:p>
    <w:p w14:paraId="0156797C" w14:textId="77777777" w:rsidR="00426235" w:rsidRDefault="00000000" w:rsidP="00AD27E9">
      <w:pPr>
        <w:pStyle w:val="a0"/>
        <w:ind w:firstLine="480"/>
      </w:pPr>
      <w:r>
        <w:rPr>
          <w:rFonts w:hint="eastAsia"/>
        </w:rPr>
        <w:t>从</w:t>
      </w:r>
      <w:r>
        <w:rPr>
          <w:rFonts w:hint="eastAsia"/>
        </w:rPr>
        <w:t>ResNet-18</w:t>
      </w:r>
      <w:r>
        <w:rPr>
          <w:rFonts w:hint="eastAsia"/>
        </w:rPr>
        <w:t>到</w:t>
      </w:r>
      <w:r>
        <w:rPr>
          <w:rFonts w:hint="eastAsia"/>
        </w:rPr>
        <w:t>GoogLeNet</w:t>
      </w:r>
      <w:r>
        <w:rPr>
          <w:rFonts w:hint="eastAsia"/>
        </w:rPr>
        <w:t>的转移成功率为</w:t>
      </w:r>
      <w:r>
        <w:rPr>
          <w:rFonts w:hint="eastAsia"/>
        </w:rPr>
        <w:t>99.55%</w:t>
      </w:r>
      <w:r>
        <w:rPr>
          <w:rFonts w:hint="eastAsia"/>
        </w:rPr>
        <w:t>，而从</w:t>
      </w:r>
      <w:r>
        <w:rPr>
          <w:rFonts w:hint="eastAsia"/>
        </w:rPr>
        <w:t>GoogLeNet</w:t>
      </w:r>
      <w:r>
        <w:rPr>
          <w:rFonts w:hint="eastAsia"/>
        </w:rPr>
        <w:t>到</w:t>
      </w:r>
      <w:r>
        <w:rPr>
          <w:rFonts w:hint="eastAsia"/>
        </w:rPr>
        <w:t>ResNet-18</w:t>
      </w:r>
      <w:r>
        <w:rPr>
          <w:rFonts w:hint="eastAsia"/>
        </w:rPr>
        <w:t>的转移成功率为</w:t>
      </w:r>
      <w:r>
        <w:rPr>
          <w:rFonts w:hint="eastAsia"/>
        </w:rPr>
        <w:t>99.50%</w:t>
      </w:r>
      <w:r>
        <w:rPr>
          <w:rFonts w:hint="eastAsia"/>
        </w:rPr>
        <w:t>，两者差异仅为</w:t>
      </w:r>
      <w:r>
        <w:rPr>
          <w:rFonts w:hint="eastAsia"/>
        </w:rPr>
        <w:t>0.05%</w:t>
      </w:r>
      <w:r>
        <w:rPr>
          <w:rFonts w:hint="eastAsia"/>
        </w:rPr>
        <w:t>。类似地，从</w:t>
      </w:r>
      <w:r>
        <w:rPr>
          <w:rFonts w:hint="eastAsia"/>
        </w:rPr>
        <w:lastRenderedPageBreak/>
        <w:t>EfficientNet-B0</w:t>
      </w:r>
      <w:r>
        <w:rPr>
          <w:rFonts w:hint="eastAsia"/>
        </w:rPr>
        <w:t>到</w:t>
      </w:r>
      <w:r>
        <w:rPr>
          <w:rFonts w:hint="eastAsia"/>
        </w:rPr>
        <w:t>GoogLeNet</w:t>
      </w:r>
      <w:r>
        <w:rPr>
          <w:rFonts w:hint="eastAsia"/>
        </w:rPr>
        <w:t>的转移成功率为</w:t>
      </w:r>
      <w:r>
        <w:rPr>
          <w:rFonts w:hint="eastAsia"/>
        </w:rPr>
        <w:t>100.00%</w:t>
      </w:r>
      <w:r>
        <w:rPr>
          <w:rFonts w:hint="eastAsia"/>
        </w:rPr>
        <w:t>，从</w:t>
      </w:r>
      <w:r>
        <w:rPr>
          <w:rFonts w:hint="eastAsia"/>
        </w:rPr>
        <w:t>GoogLeNet</w:t>
      </w:r>
      <w:r>
        <w:rPr>
          <w:rFonts w:hint="eastAsia"/>
        </w:rPr>
        <w:t>到</w:t>
      </w:r>
      <w:r>
        <w:rPr>
          <w:rFonts w:hint="eastAsia"/>
        </w:rPr>
        <w:t>EfficientNet-B0</w:t>
      </w:r>
      <w:r>
        <w:rPr>
          <w:rFonts w:hint="eastAsia"/>
        </w:rPr>
        <w:t>的转移成功率也为</w:t>
      </w:r>
      <w:r>
        <w:rPr>
          <w:rFonts w:hint="eastAsia"/>
        </w:rPr>
        <w:t>100.00%</w:t>
      </w:r>
      <w:r>
        <w:rPr>
          <w:rFonts w:hint="eastAsia"/>
        </w:rPr>
        <w:t>。这种高度对称性表明，触发器的转移能力主要取决于目标类特征本身的通用性，而非特定于某个模型架构。</w:t>
      </w:r>
    </w:p>
    <w:p w14:paraId="6D7F2B8A" w14:textId="77777777" w:rsidR="00426235" w:rsidRDefault="00000000" w:rsidP="00AD27E9">
      <w:pPr>
        <w:pStyle w:val="a0"/>
        <w:ind w:firstLine="480"/>
      </w:pPr>
      <w:r>
        <w:rPr>
          <w:rFonts w:hint="eastAsia"/>
          <w:b/>
          <w:bCs/>
        </w:rPr>
        <w:t>现象</w:t>
      </w:r>
      <w:r>
        <w:rPr>
          <w:rFonts w:hint="eastAsia"/>
          <w:b/>
          <w:bCs/>
        </w:rPr>
        <w:t>3</w:t>
      </w:r>
      <w:r>
        <w:rPr>
          <w:rFonts w:hint="eastAsia"/>
          <w:b/>
          <w:bCs/>
        </w:rPr>
        <w:t>：替代模型选择存在显著差异</w:t>
      </w:r>
    </w:p>
    <w:p w14:paraId="76753940" w14:textId="044FF08C" w:rsidR="009E594B" w:rsidRDefault="00000000" w:rsidP="00E86361">
      <w:pPr>
        <w:pStyle w:val="a0"/>
      </w:pPr>
      <w:r>
        <w:rPr>
          <w:rFonts w:hint="eastAsia"/>
        </w:rPr>
        <w:t>GoogLeNet</w:t>
      </w:r>
      <w:r>
        <w:rPr>
          <w:rFonts w:hint="eastAsia"/>
        </w:rPr>
        <w:t>作为替代模型时，平均转移成功率为</w:t>
      </w:r>
      <w:r>
        <w:rPr>
          <w:rFonts w:hint="eastAsia"/>
        </w:rPr>
        <w:t>99.83%</w:t>
      </w:r>
      <w:r>
        <w:rPr>
          <w:rFonts w:hint="eastAsia"/>
        </w:rPr>
        <w:t>，是三种模型中最高的。</w:t>
      </w:r>
      <w:r>
        <w:rPr>
          <w:rFonts w:hint="eastAsia"/>
        </w:rPr>
        <w:t>EfficientNet-B0</w:t>
      </w:r>
      <w:r>
        <w:rPr>
          <w:rFonts w:hint="eastAsia"/>
        </w:rPr>
        <w:t>作为替代模型时，平均转移成功率仅为</w:t>
      </w:r>
      <w:r>
        <w:rPr>
          <w:rFonts w:hint="eastAsia"/>
        </w:rPr>
        <w:t>89.96%</w:t>
      </w:r>
      <w:r>
        <w:rPr>
          <w:rFonts w:hint="eastAsia"/>
        </w:rPr>
        <w:t>，是三种模型中最低的。这表明替代模型的选择对触发器的最终效果有显著影响。</w:t>
      </w:r>
    </w:p>
    <w:p w14:paraId="5A483DB3" w14:textId="58BEFDE2" w:rsidR="00426235" w:rsidRDefault="00000000">
      <w:pPr>
        <w:pStyle w:val="3"/>
      </w:pPr>
      <w:bookmarkStart w:id="14" w:name="替代模型有效性分析"/>
      <w:bookmarkEnd w:id="13"/>
      <w:r>
        <w:t xml:space="preserve">3. </w:t>
      </w:r>
      <w:r>
        <w:rPr>
          <w:rFonts w:hint="eastAsia"/>
        </w:rPr>
        <w:t>替代模型有效性分析</w:t>
      </w:r>
    </w:p>
    <w:p w14:paraId="2073D7BE" w14:textId="77777777" w:rsidR="00426235" w:rsidRDefault="00000000" w:rsidP="00AD27E9">
      <w:pPr>
        <w:pStyle w:val="FirstParagraph"/>
        <w:ind w:firstLine="480"/>
      </w:pPr>
      <w:r>
        <w:rPr>
          <w:rFonts w:hint="eastAsia"/>
        </w:rPr>
        <w:t>为了进一步理解不同替代模型的效果，我们计算了每种模型作为替代模型和作为目标模型时的平均表现：</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1800"/>
        <w:gridCol w:w="2856"/>
        <w:gridCol w:w="2856"/>
      </w:tblGrid>
      <w:tr w:rsidR="00426235" w14:paraId="5A67432A" w14:textId="77777777" w:rsidTr="000E73A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285417" w14:textId="77777777" w:rsidR="00426235" w:rsidRDefault="00000000">
            <w:pPr>
              <w:pStyle w:val="Compact"/>
              <w:jc w:val="center"/>
            </w:pPr>
            <w:r>
              <w:rPr>
                <w:rFonts w:hint="eastAsia"/>
              </w:rPr>
              <w:t>模型</w:t>
            </w:r>
          </w:p>
        </w:tc>
        <w:tc>
          <w:tcPr>
            <w:tcW w:w="0" w:type="auto"/>
            <w:tcBorders>
              <w:bottom w:val="none" w:sz="0" w:space="0" w:color="auto"/>
            </w:tcBorders>
          </w:tcPr>
          <w:p w14:paraId="012EB573" w14:textId="77777777" w:rsidR="00426235" w:rsidRDefault="00000000">
            <w:pPr>
              <w:pStyle w:val="Compact"/>
              <w:jc w:val="center"/>
            </w:pPr>
            <w:r>
              <w:rPr>
                <w:rFonts w:hint="eastAsia"/>
              </w:rPr>
              <w:t>作为替代模型（行平均）</w:t>
            </w:r>
          </w:p>
        </w:tc>
        <w:tc>
          <w:tcPr>
            <w:tcW w:w="0" w:type="auto"/>
            <w:tcBorders>
              <w:bottom w:val="none" w:sz="0" w:space="0" w:color="auto"/>
            </w:tcBorders>
          </w:tcPr>
          <w:p w14:paraId="77F3AE01" w14:textId="77777777" w:rsidR="00426235" w:rsidRDefault="00000000">
            <w:pPr>
              <w:pStyle w:val="Compact"/>
              <w:jc w:val="center"/>
            </w:pPr>
            <w:r>
              <w:rPr>
                <w:rFonts w:hint="eastAsia"/>
              </w:rPr>
              <w:t>作为目标模型（列平均）</w:t>
            </w:r>
          </w:p>
        </w:tc>
      </w:tr>
      <w:tr w:rsidR="00426235" w14:paraId="2C80454A" w14:textId="77777777" w:rsidTr="000E73AB">
        <w:tc>
          <w:tcPr>
            <w:tcW w:w="0" w:type="auto"/>
          </w:tcPr>
          <w:p w14:paraId="46888FBA" w14:textId="77777777" w:rsidR="00426235" w:rsidRDefault="00000000">
            <w:pPr>
              <w:pStyle w:val="Compact"/>
              <w:jc w:val="center"/>
            </w:pPr>
            <w:r>
              <w:t>ResNet-18</w:t>
            </w:r>
          </w:p>
        </w:tc>
        <w:tc>
          <w:tcPr>
            <w:tcW w:w="0" w:type="auto"/>
          </w:tcPr>
          <w:p w14:paraId="7FFEBADE" w14:textId="77777777" w:rsidR="00426235" w:rsidRDefault="00000000">
            <w:pPr>
              <w:pStyle w:val="Compact"/>
              <w:jc w:val="center"/>
            </w:pPr>
            <w:r>
              <w:t>98.96%</w:t>
            </w:r>
          </w:p>
        </w:tc>
        <w:tc>
          <w:tcPr>
            <w:tcW w:w="0" w:type="auto"/>
          </w:tcPr>
          <w:p w14:paraId="6A53D0DB" w14:textId="77777777" w:rsidR="00426235" w:rsidRDefault="00000000">
            <w:pPr>
              <w:pStyle w:val="Compact"/>
              <w:jc w:val="center"/>
            </w:pPr>
            <w:r>
              <w:t>92.97%</w:t>
            </w:r>
          </w:p>
        </w:tc>
      </w:tr>
      <w:tr w:rsidR="00426235" w14:paraId="2799E3AE" w14:textId="77777777" w:rsidTr="000E73AB">
        <w:tc>
          <w:tcPr>
            <w:tcW w:w="0" w:type="auto"/>
          </w:tcPr>
          <w:p w14:paraId="4FEEF8A8" w14:textId="77777777" w:rsidR="00426235" w:rsidRDefault="00000000">
            <w:pPr>
              <w:pStyle w:val="Compact"/>
              <w:jc w:val="center"/>
            </w:pPr>
            <w:r>
              <w:t>GoogLeNet</w:t>
            </w:r>
          </w:p>
        </w:tc>
        <w:tc>
          <w:tcPr>
            <w:tcW w:w="0" w:type="auto"/>
          </w:tcPr>
          <w:p w14:paraId="1DC61788" w14:textId="77777777" w:rsidR="00426235" w:rsidRDefault="00000000">
            <w:pPr>
              <w:pStyle w:val="Compact"/>
              <w:jc w:val="center"/>
            </w:pPr>
            <w:r>
              <w:t>99.83%</w:t>
            </w:r>
          </w:p>
        </w:tc>
        <w:tc>
          <w:tcPr>
            <w:tcW w:w="0" w:type="auto"/>
          </w:tcPr>
          <w:p w14:paraId="53816F5B" w14:textId="77777777" w:rsidR="00426235" w:rsidRDefault="00000000">
            <w:pPr>
              <w:pStyle w:val="Compact"/>
              <w:jc w:val="center"/>
            </w:pPr>
            <w:r>
              <w:t>99.85%</w:t>
            </w:r>
          </w:p>
        </w:tc>
      </w:tr>
      <w:tr w:rsidR="00426235" w14:paraId="2D2AACE3" w14:textId="77777777" w:rsidTr="000E73AB">
        <w:tc>
          <w:tcPr>
            <w:tcW w:w="0" w:type="auto"/>
          </w:tcPr>
          <w:p w14:paraId="55C05A15" w14:textId="77777777" w:rsidR="00426235" w:rsidRDefault="00000000">
            <w:pPr>
              <w:pStyle w:val="Compact"/>
              <w:jc w:val="center"/>
            </w:pPr>
            <w:r>
              <w:t>EfficientNet-B0</w:t>
            </w:r>
          </w:p>
        </w:tc>
        <w:tc>
          <w:tcPr>
            <w:tcW w:w="0" w:type="auto"/>
          </w:tcPr>
          <w:p w14:paraId="4F4CC998" w14:textId="77777777" w:rsidR="00426235" w:rsidRDefault="00000000">
            <w:pPr>
              <w:pStyle w:val="Compact"/>
              <w:jc w:val="center"/>
            </w:pPr>
            <w:r>
              <w:t>89.96%</w:t>
            </w:r>
          </w:p>
        </w:tc>
        <w:tc>
          <w:tcPr>
            <w:tcW w:w="0" w:type="auto"/>
          </w:tcPr>
          <w:p w14:paraId="4FDEB09F" w14:textId="77777777" w:rsidR="00426235" w:rsidRDefault="00000000">
            <w:pPr>
              <w:pStyle w:val="Compact"/>
              <w:jc w:val="center"/>
            </w:pPr>
            <w:r>
              <w:t>95.93%</w:t>
            </w:r>
          </w:p>
        </w:tc>
      </w:tr>
    </w:tbl>
    <w:p w14:paraId="5937543C" w14:textId="77777777" w:rsidR="00426235" w:rsidRDefault="00000000" w:rsidP="00B62585">
      <w:pPr>
        <w:pStyle w:val="a0"/>
        <w:ind w:firstLine="480"/>
      </w:pPr>
      <w:r>
        <w:rPr>
          <w:rFonts w:hint="eastAsia"/>
          <w:b/>
          <w:bCs/>
        </w:rPr>
        <w:t>表</w:t>
      </w:r>
      <w:r>
        <w:rPr>
          <w:rFonts w:hint="eastAsia"/>
          <w:b/>
          <w:bCs/>
        </w:rPr>
        <w:t>2</w:t>
      </w:r>
      <w:r>
        <w:rPr>
          <w:rFonts w:hint="eastAsia"/>
          <w:b/>
          <w:bCs/>
        </w:rPr>
        <w:t>：模型有效性的双向分析</w:t>
      </w:r>
    </w:p>
    <w:p w14:paraId="3AA75E7C" w14:textId="77777777" w:rsidR="00426235" w:rsidRDefault="00000000">
      <w:pPr>
        <w:pStyle w:val="a0"/>
      </w:pPr>
      <w:r>
        <w:rPr>
          <w:rFonts w:hint="eastAsia"/>
        </w:rPr>
        <w:t>从表中可以得出以下结论：</w:t>
      </w:r>
    </w:p>
    <w:p w14:paraId="41E088F9" w14:textId="77777777" w:rsidR="00426235" w:rsidRDefault="00000000" w:rsidP="00B62585">
      <w:pPr>
        <w:pStyle w:val="a0"/>
        <w:ind w:firstLine="480"/>
      </w:pPr>
      <w:r>
        <w:rPr>
          <w:rFonts w:hint="eastAsia"/>
          <w:b/>
          <w:bCs/>
        </w:rPr>
        <w:t>GoogLeNet</w:t>
      </w:r>
      <w:r>
        <w:rPr>
          <w:rFonts w:hint="eastAsia"/>
          <w:b/>
          <w:bCs/>
        </w:rPr>
        <w:t>具有最优的通用性</w:t>
      </w:r>
      <w:r>
        <w:rPr>
          <w:rFonts w:hint="eastAsia"/>
        </w:rPr>
        <w:t>：无论是作为替代模型还是作为目标模型，</w:t>
      </w:r>
      <w:r>
        <w:rPr>
          <w:rFonts w:hint="eastAsia"/>
        </w:rPr>
        <w:t>GoogLeNet</w:t>
      </w:r>
      <w:r>
        <w:rPr>
          <w:rFonts w:hint="eastAsia"/>
        </w:rPr>
        <w:t>都表现出色。这可能与</w:t>
      </w:r>
      <w:r>
        <w:rPr>
          <w:rFonts w:hint="eastAsia"/>
        </w:rPr>
        <w:t>GoogLeNet</w:t>
      </w:r>
      <w:r>
        <w:rPr>
          <w:rFonts w:hint="eastAsia"/>
        </w:rPr>
        <w:t>的</w:t>
      </w:r>
      <w:r>
        <w:rPr>
          <w:rFonts w:hint="eastAsia"/>
        </w:rPr>
        <w:t>Inception</w:t>
      </w:r>
      <w:r>
        <w:rPr>
          <w:rFonts w:hint="eastAsia"/>
        </w:rPr>
        <w:t>模块设计有关，该架构能够同时提取多尺度特征，使得学习到的目标类特征更具代表性。</w:t>
      </w:r>
    </w:p>
    <w:p w14:paraId="5DF38EB3" w14:textId="77777777" w:rsidR="00426235" w:rsidRDefault="00000000" w:rsidP="00B62585">
      <w:pPr>
        <w:pStyle w:val="a0"/>
        <w:ind w:firstLine="480"/>
      </w:pPr>
      <w:r>
        <w:rPr>
          <w:rFonts w:hint="eastAsia"/>
          <w:b/>
          <w:bCs/>
        </w:rPr>
        <w:t>ResNet-18</w:t>
      </w:r>
      <w:r>
        <w:rPr>
          <w:rFonts w:hint="eastAsia"/>
          <w:b/>
          <w:bCs/>
        </w:rPr>
        <w:t>作为目标模型时相对脆弱</w:t>
      </w:r>
      <w:r>
        <w:rPr>
          <w:rFonts w:hint="eastAsia"/>
        </w:rPr>
        <w:t>：当使用其他模型生成的触发器攻击</w:t>
      </w:r>
      <w:r>
        <w:rPr>
          <w:rFonts w:hint="eastAsia"/>
        </w:rPr>
        <w:t>ResNet-18</w:t>
      </w:r>
      <w:r>
        <w:rPr>
          <w:rFonts w:hint="eastAsia"/>
        </w:rPr>
        <w:t>时，平均成功率为</w:t>
      </w:r>
      <w:r>
        <w:rPr>
          <w:rFonts w:hint="eastAsia"/>
        </w:rPr>
        <w:t>92.97%</w:t>
      </w:r>
      <w:r>
        <w:rPr>
          <w:rFonts w:hint="eastAsia"/>
        </w:rPr>
        <w:t>，低于其他两种模型。这表明</w:t>
      </w:r>
      <w:r>
        <w:rPr>
          <w:rFonts w:hint="eastAsia"/>
        </w:rPr>
        <w:t>ResNet-18</w:t>
      </w:r>
      <w:r>
        <w:rPr>
          <w:rFonts w:hint="eastAsia"/>
        </w:rPr>
        <w:t>的决策边界可能与其他架构存在较大差异。</w:t>
      </w:r>
    </w:p>
    <w:p w14:paraId="63B6457D" w14:textId="77777777" w:rsidR="00426235" w:rsidRDefault="00000000" w:rsidP="00B62585">
      <w:pPr>
        <w:pStyle w:val="a0"/>
        <w:ind w:firstLine="480"/>
      </w:pPr>
      <w:r>
        <w:rPr>
          <w:rFonts w:hint="eastAsia"/>
          <w:b/>
          <w:bCs/>
        </w:rPr>
        <w:t>EfficientNet-B0</w:t>
      </w:r>
      <w:r>
        <w:rPr>
          <w:rFonts w:hint="eastAsia"/>
          <w:b/>
          <w:bCs/>
        </w:rPr>
        <w:t>具有矛盾特性</w:t>
      </w:r>
      <w:r>
        <w:rPr>
          <w:rFonts w:hint="eastAsia"/>
        </w:rPr>
        <w:t>：作为替代模型效果不佳（</w:t>
      </w:r>
      <w:r>
        <w:rPr>
          <w:rFonts w:hint="eastAsia"/>
        </w:rPr>
        <w:t>89.96%</w:t>
      </w:r>
      <w:r>
        <w:rPr>
          <w:rFonts w:hint="eastAsia"/>
        </w:rPr>
        <w:t>），但作为目标模型时表现出色（</w:t>
      </w:r>
      <w:r>
        <w:rPr>
          <w:rFonts w:hint="eastAsia"/>
        </w:rPr>
        <w:t>95.93%</w:t>
      </w:r>
      <w:r>
        <w:rPr>
          <w:rFonts w:hint="eastAsia"/>
        </w:rPr>
        <w:t>）。这一现象可能与</w:t>
      </w:r>
      <w:r>
        <w:rPr>
          <w:rFonts w:hint="eastAsia"/>
        </w:rPr>
        <w:t>EfficientNet-B0</w:t>
      </w:r>
      <w:r>
        <w:rPr>
          <w:rFonts w:hint="eastAsia"/>
        </w:rPr>
        <w:t>的复合缩放策略有关，使其特征表示具有独特性。</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8D20F0" w14:paraId="4945E269" w14:textId="77777777" w:rsidTr="00E735F1">
        <w:tc>
          <w:tcPr>
            <w:tcW w:w="4428" w:type="dxa"/>
          </w:tcPr>
          <w:p w14:paraId="0200F1DA" w14:textId="2785FA76" w:rsidR="008D20F0" w:rsidRDefault="008D20F0">
            <w:pPr>
              <w:pStyle w:val="a0"/>
            </w:pPr>
            <w:r>
              <w:rPr>
                <w:noProof/>
              </w:rPr>
              <w:lastRenderedPageBreak/>
              <w:drawing>
                <wp:inline distT="0" distB="0" distL="0" distR="0" wp14:anchorId="59E63611" wp14:editId="573272A8">
                  <wp:extent cx="2654300" cy="2444750"/>
                  <wp:effectExtent l="0" t="0" r="0" b="0"/>
                  <wp:docPr id="25" name="Picture" descr="77192225707"/>
                  <wp:cNvGraphicFramePr/>
                  <a:graphic xmlns:a="http://schemas.openxmlformats.org/drawingml/2006/main">
                    <a:graphicData uri="http://schemas.openxmlformats.org/drawingml/2006/picture">
                      <pic:pic xmlns:pic="http://schemas.openxmlformats.org/drawingml/2006/picture">
                        <pic:nvPicPr>
                          <pic:cNvPr id="26" name="Picture" descr="C:\Users\廖镇泉\AppData\Local\Temp\1771922257071.png"/>
                          <pic:cNvPicPr>
                            <a:picLocks noChangeAspect="1" noChangeArrowheads="1"/>
                          </pic:cNvPicPr>
                        </pic:nvPicPr>
                        <pic:blipFill rotWithShape="1">
                          <a:blip r:embed="rId9"/>
                          <a:srcRect t="3778"/>
                          <a:stretch>
                            <a:fillRect/>
                          </a:stretch>
                        </pic:blipFill>
                        <pic:spPr bwMode="auto">
                          <a:xfrm>
                            <a:off x="0" y="0"/>
                            <a:ext cx="2667412" cy="245682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28" w:type="dxa"/>
          </w:tcPr>
          <w:p w14:paraId="794AE526" w14:textId="708583C6" w:rsidR="008D20F0" w:rsidRDefault="008D20F0">
            <w:pPr>
              <w:pStyle w:val="a0"/>
            </w:pPr>
            <w:r>
              <w:rPr>
                <w:noProof/>
              </w:rPr>
              <w:drawing>
                <wp:inline distT="0" distB="0" distL="0" distR="0" wp14:anchorId="4D1D37BE" wp14:editId="4EEE6929">
                  <wp:extent cx="2502535" cy="2457450"/>
                  <wp:effectExtent l="0" t="0" r="0" b="0"/>
                  <wp:docPr id="28" name="Picture" descr="77192230310"/>
                  <wp:cNvGraphicFramePr/>
                  <a:graphic xmlns:a="http://schemas.openxmlformats.org/drawingml/2006/main">
                    <a:graphicData uri="http://schemas.openxmlformats.org/drawingml/2006/picture">
                      <pic:pic xmlns:pic="http://schemas.openxmlformats.org/drawingml/2006/picture">
                        <pic:nvPicPr>
                          <pic:cNvPr id="29" name="Picture" descr="C:\Users\廖镇泉\AppData\Local\Temp\1771922303104.png"/>
                          <pic:cNvPicPr>
                            <a:picLocks noChangeAspect="1" noChangeArrowheads="1"/>
                          </pic:cNvPicPr>
                        </pic:nvPicPr>
                        <pic:blipFill rotWithShape="1">
                          <a:blip r:embed="rId10"/>
                          <a:srcRect t="4161" b="4282"/>
                          <a:stretch>
                            <a:fillRect/>
                          </a:stretch>
                        </pic:blipFill>
                        <pic:spPr bwMode="auto">
                          <a:xfrm>
                            <a:off x="0" y="0"/>
                            <a:ext cx="2519426" cy="24740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D14EA20" w14:textId="418369DE" w:rsidR="00426235" w:rsidRDefault="00000000">
      <w:pPr>
        <w:pStyle w:val="3"/>
      </w:pPr>
      <w:bookmarkStart w:id="15" w:name="转移性下降分析"/>
      <w:bookmarkEnd w:id="14"/>
      <w:r>
        <w:t>4</w:t>
      </w:r>
      <w:r w:rsidR="00F25285">
        <w:rPr>
          <w:rFonts w:hint="eastAsia"/>
        </w:rPr>
        <w:t>.</w:t>
      </w:r>
      <w:r>
        <w:t xml:space="preserve"> </w:t>
      </w:r>
      <w:r>
        <w:rPr>
          <w:rFonts w:hint="eastAsia"/>
        </w:rPr>
        <w:t>转移性下降分析</w:t>
      </w:r>
    </w:p>
    <w:p w14:paraId="66669F38" w14:textId="77777777" w:rsidR="00426235" w:rsidRDefault="00000000">
      <w:pPr>
        <w:pStyle w:val="FirstParagraph"/>
      </w:pPr>
      <w:r>
        <w:rPr>
          <w:rFonts w:hint="eastAsia"/>
        </w:rPr>
        <w:t>我们进一步分析了从同架构到跨架构转移时的成功率变化：</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3212"/>
        <w:gridCol w:w="1419"/>
        <w:gridCol w:w="1419"/>
        <w:gridCol w:w="1124"/>
      </w:tblGrid>
      <w:tr w:rsidR="00426235" w14:paraId="7B51A276" w14:textId="77777777" w:rsidTr="00E735F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9F72022" w14:textId="77777777" w:rsidR="00426235" w:rsidRDefault="00000000">
            <w:pPr>
              <w:pStyle w:val="Compact"/>
              <w:jc w:val="center"/>
            </w:pPr>
            <w:r>
              <w:rPr>
                <w:rFonts w:hint="eastAsia"/>
              </w:rPr>
              <w:t>转移方向</w:t>
            </w:r>
          </w:p>
        </w:tc>
        <w:tc>
          <w:tcPr>
            <w:tcW w:w="0" w:type="auto"/>
            <w:tcBorders>
              <w:bottom w:val="none" w:sz="0" w:space="0" w:color="auto"/>
            </w:tcBorders>
          </w:tcPr>
          <w:p w14:paraId="68986455" w14:textId="77777777" w:rsidR="00426235" w:rsidRDefault="00000000">
            <w:pPr>
              <w:pStyle w:val="Compact"/>
              <w:jc w:val="center"/>
            </w:pPr>
            <w:r>
              <w:rPr>
                <w:rFonts w:hint="eastAsia"/>
              </w:rPr>
              <w:t>同架构</w:t>
            </w:r>
            <w:r>
              <w:rPr>
                <w:rFonts w:hint="eastAsia"/>
              </w:rPr>
              <w:t>ASR</w:t>
            </w:r>
          </w:p>
        </w:tc>
        <w:tc>
          <w:tcPr>
            <w:tcW w:w="0" w:type="auto"/>
            <w:tcBorders>
              <w:bottom w:val="none" w:sz="0" w:space="0" w:color="auto"/>
            </w:tcBorders>
          </w:tcPr>
          <w:p w14:paraId="394E029F" w14:textId="77777777" w:rsidR="00426235" w:rsidRDefault="00000000">
            <w:pPr>
              <w:pStyle w:val="Compact"/>
              <w:jc w:val="center"/>
            </w:pPr>
            <w:r>
              <w:rPr>
                <w:rFonts w:hint="eastAsia"/>
              </w:rPr>
              <w:t>跨架构</w:t>
            </w:r>
            <w:r>
              <w:rPr>
                <w:rFonts w:hint="eastAsia"/>
              </w:rPr>
              <w:t>ASR</w:t>
            </w:r>
          </w:p>
        </w:tc>
        <w:tc>
          <w:tcPr>
            <w:tcW w:w="0" w:type="auto"/>
            <w:tcBorders>
              <w:bottom w:val="none" w:sz="0" w:space="0" w:color="auto"/>
            </w:tcBorders>
          </w:tcPr>
          <w:p w14:paraId="00C75D44" w14:textId="77777777" w:rsidR="00426235" w:rsidRDefault="00000000">
            <w:pPr>
              <w:pStyle w:val="Compact"/>
              <w:jc w:val="center"/>
            </w:pPr>
            <w:r>
              <w:rPr>
                <w:rFonts w:hint="eastAsia"/>
              </w:rPr>
              <w:t>变化</w:t>
            </w:r>
          </w:p>
        </w:tc>
      </w:tr>
      <w:tr w:rsidR="00426235" w14:paraId="74804065" w14:textId="77777777" w:rsidTr="00E735F1">
        <w:tc>
          <w:tcPr>
            <w:tcW w:w="0" w:type="auto"/>
          </w:tcPr>
          <w:p w14:paraId="05D281E2" w14:textId="77777777" w:rsidR="00426235" w:rsidRDefault="00000000">
            <w:pPr>
              <w:pStyle w:val="Compact"/>
              <w:jc w:val="center"/>
            </w:pPr>
            <w:r>
              <w:t>ResNet-18 → GoogLeNet</w:t>
            </w:r>
          </w:p>
        </w:tc>
        <w:tc>
          <w:tcPr>
            <w:tcW w:w="0" w:type="auto"/>
          </w:tcPr>
          <w:p w14:paraId="77CD613D" w14:textId="77777777" w:rsidR="00426235" w:rsidRDefault="00000000">
            <w:pPr>
              <w:pStyle w:val="Compact"/>
              <w:jc w:val="center"/>
            </w:pPr>
            <w:r>
              <w:t>97.36%</w:t>
            </w:r>
          </w:p>
        </w:tc>
        <w:tc>
          <w:tcPr>
            <w:tcW w:w="0" w:type="auto"/>
          </w:tcPr>
          <w:p w14:paraId="1D184C76" w14:textId="77777777" w:rsidR="00426235" w:rsidRDefault="00000000">
            <w:pPr>
              <w:pStyle w:val="Compact"/>
              <w:jc w:val="center"/>
            </w:pPr>
            <w:r>
              <w:t>99.55%</w:t>
            </w:r>
          </w:p>
        </w:tc>
        <w:tc>
          <w:tcPr>
            <w:tcW w:w="0" w:type="auto"/>
          </w:tcPr>
          <w:p w14:paraId="483A028A" w14:textId="77777777" w:rsidR="00426235" w:rsidRDefault="00000000">
            <w:pPr>
              <w:pStyle w:val="Compact"/>
              <w:jc w:val="center"/>
            </w:pPr>
            <w:r>
              <w:t>+2.19%</w:t>
            </w:r>
          </w:p>
        </w:tc>
      </w:tr>
      <w:tr w:rsidR="00426235" w14:paraId="79F92194" w14:textId="77777777" w:rsidTr="00E735F1">
        <w:tc>
          <w:tcPr>
            <w:tcW w:w="0" w:type="auto"/>
          </w:tcPr>
          <w:p w14:paraId="773361D7" w14:textId="77777777" w:rsidR="00426235" w:rsidRDefault="00000000">
            <w:pPr>
              <w:pStyle w:val="Compact"/>
              <w:jc w:val="center"/>
            </w:pPr>
            <w:r>
              <w:t>ResNet-18 → EfficientNet-B0</w:t>
            </w:r>
          </w:p>
        </w:tc>
        <w:tc>
          <w:tcPr>
            <w:tcW w:w="0" w:type="auto"/>
          </w:tcPr>
          <w:p w14:paraId="093D7EC1" w14:textId="77777777" w:rsidR="00426235" w:rsidRDefault="00000000">
            <w:pPr>
              <w:pStyle w:val="Compact"/>
              <w:jc w:val="center"/>
            </w:pPr>
            <w:r>
              <w:t>97.36%</w:t>
            </w:r>
          </w:p>
        </w:tc>
        <w:tc>
          <w:tcPr>
            <w:tcW w:w="0" w:type="auto"/>
          </w:tcPr>
          <w:p w14:paraId="17345927" w14:textId="77777777" w:rsidR="00426235" w:rsidRDefault="00000000">
            <w:pPr>
              <w:pStyle w:val="Compact"/>
              <w:jc w:val="center"/>
            </w:pPr>
            <w:r>
              <w:t>99.97%</w:t>
            </w:r>
          </w:p>
        </w:tc>
        <w:tc>
          <w:tcPr>
            <w:tcW w:w="0" w:type="auto"/>
          </w:tcPr>
          <w:p w14:paraId="4E4CF8FF" w14:textId="77777777" w:rsidR="00426235" w:rsidRDefault="00000000">
            <w:pPr>
              <w:pStyle w:val="Compact"/>
              <w:jc w:val="center"/>
            </w:pPr>
            <w:r>
              <w:t>+2.61%</w:t>
            </w:r>
          </w:p>
        </w:tc>
      </w:tr>
      <w:tr w:rsidR="00426235" w14:paraId="4184A66D" w14:textId="77777777" w:rsidTr="00E735F1">
        <w:tc>
          <w:tcPr>
            <w:tcW w:w="0" w:type="auto"/>
          </w:tcPr>
          <w:p w14:paraId="658A2DE3" w14:textId="77777777" w:rsidR="00426235" w:rsidRDefault="00000000">
            <w:pPr>
              <w:pStyle w:val="Compact"/>
              <w:jc w:val="center"/>
            </w:pPr>
            <w:r>
              <w:t>GoogLeNet → ResNet-18</w:t>
            </w:r>
          </w:p>
        </w:tc>
        <w:tc>
          <w:tcPr>
            <w:tcW w:w="0" w:type="auto"/>
          </w:tcPr>
          <w:p w14:paraId="010F58E0" w14:textId="77777777" w:rsidR="00426235" w:rsidRDefault="00000000">
            <w:pPr>
              <w:pStyle w:val="Compact"/>
              <w:jc w:val="center"/>
            </w:pPr>
            <w:r>
              <w:t>100.00%</w:t>
            </w:r>
          </w:p>
        </w:tc>
        <w:tc>
          <w:tcPr>
            <w:tcW w:w="0" w:type="auto"/>
          </w:tcPr>
          <w:p w14:paraId="44D14312" w14:textId="77777777" w:rsidR="00426235" w:rsidRDefault="00000000">
            <w:pPr>
              <w:pStyle w:val="Compact"/>
              <w:jc w:val="center"/>
            </w:pPr>
            <w:r>
              <w:t>99.50%</w:t>
            </w:r>
          </w:p>
        </w:tc>
        <w:tc>
          <w:tcPr>
            <w:tcW w:w="0" w:type="auto"/>
          </w:tcPr>
          <w:p w14:paraId="2B06DE23" w14:textId="77777777" w:rsidR="00426235" w:rsidRDefault="00000000">
            <w:pPr>
              <w:pStyle w:val="Compact"/>
              <w:jc w:val="center"/>
            </w:pPr>
            <w:r>
              <w:t>-0.50%</w:t>
            </w:r>
          </w:p>
        </w:tc>
      </w:tr>
      <w:tr w:rsidR="00426235" w14:paraId="03147E98" w14:textId="77777777" w:rsidTr="00E735F1">
        <w:tc>
          <w:tcPr>
            <w:tcW w:w="0" w:type="auto"/>
          </w:tcPr>
          <w:p w14:paraId="18F188E7" w14:textId="77777777" w:rsidR="00426235" w:rsidRDefault="00000000">
            <w:pPr>
              <w:pStyle w:val="Compact"/>
              <w:jc w:val="center"/>
            </w:pPr>
            <w:r>
              <w:t>GoogLeNet → EfficientNet-B0</w:t>
            </w:r>
          </w:p>
        </w:tc>
        <w:tc>
          <w:tcPr>
            <w:tcW w:w="0" w:type="auto"/>
          </w:tcPr>
          <w:p w14:paraId="051DCF94" w14:textId="77777777" w:rsidR="00426235" w:rsidRDefault="00000000">
            <w:pPr>
              <w:pStyle w:val="Compact"/>
              <w:jc w:val="center"/>
            </w:pPr>
            <w:r>
              <w:t>100.00%</w:t>
            </w:r>
          </w:p>
        </w:tc>
        <w:tc>
          <w:tcPr>
            <w:tcW w:w="0" w:type="auto"/>
          </w:tcPr>
          <w:p w14:paraId="63B10315" w14:textId="77777777" w:rsidR="00426235" w:rsidRDefault="00000000">
            <w:pPr>
              <w:pStyle w:val="Compact"/>
              <w:jc w:val="center"/>
            </w:pPr>
            <w:r>
              <w:t>100.00%</w:t>
            </w:r>
          </w:p>
        </w:tc>
        <w:tc>
          <w:tcPr>
            <w:tcW w:w="0" w:type="auto"/>
          </w:tcPr>
          <w:p w14:paraId="18D01DD0" w14:textId="77777777" w:rsidR="00426235" w:rsidRDefault="00000000">
            <w:pPr>
              <w:pStyle w:val="Compact"/>
              <w:jc w:val="center"/>
            </w:pPr>
            <w:r>
              <w:t>0.00%</w:t>
            </w:r>
          </w:p>
        </w:tc>
      </w:tr>
      <w:tr w:rsidR="00426235" w14:paraId="5321459C" w14:textId="77777777" w:rsidTr="00E735F1">
        <w:tc>
          <w:tcPr>
            <w:tcW w:w="0" w:type="auto"/>
          </w:tcPr>
          <w:p w14:paraId="44495261" w14:textId="77777777" w:rsidR="00426235" w:rsidRDefault="00000000">
            <w:pPr>
              <w:pStyle w:val="Compact"/>
              <w:jc w:val="center"/>
            </w:pPr>
            <w:r>
              <w:t>EfficientNet-B0 → ResNet-18</w:t>
            </w:r>
          </w:p>
        </w:tc>
        <w:tc>
          <w:tcPr>
            <w:tcW w:w="0" w:type="auto"/>
          </w:tcPr>
          <w:p w14:paraId="4BEA1FD1" w14:textId="77777777" w:rsidR="00426235" w:rsidRDefault="00000000">
            <w:pPr>
              <w:pStyle w:val="Compact"/>
              <w:jc w:val="center"/>
            </w:pPr>
            <w:r>
              <w:t>87.82%</w:t>
            </w:r>
          </w:p>
        </w:tc>
        <w:tc>
          <w:tcPr>
            <w:tcW w:w="0" w:type="auto"/>
          </w:tcPr>
          <w:p w14:paraId="6FD377D4" w14:textId="77777777" w:rsidR="00426235" w:rsidRDefault="00000000">
            <w:pPr>
              <w:pStyle w:val="Compact"/>
              <w:jc w:val="center"/>
            </w:pPr>
            <w:r>
              <w:t>82.05%</w:t>
            </w:r>
          </w:p>
        </w:tc>
        <w:tc>
          <w:tcPr>
            <w:tcW w:w="0" w:type="auto"/>
          </w:tcPr>
          <w:p w14:paraId="1EA8F73B" w14:textId="77777777" w:rsidR="00426235" w:rsidRDefault="00000000">
            <w:pPr>
              <w:pStyle w:val="Compact"/>
              <w:jc w:val="center"/>
            </w:pPr>
            <w:r>
              <w:t>-5.77%</w:t>
            </w:r>
          </w:p>
        </w:tc>
      </w:tr>
      <w:tr w:rsidR="00426235" w14:paraId="4E45BE29" w14:textId="77777777" w:rsidTr="00E735F1">
        <w:tc>
          <w:tcPr>
            <w:tcW w:w="0" w:type="auto"/>
          </w:tcPr>
          <w:p w14:paraId="3E784DD6" w14:textId="77777777" w:rsidR="00426235" w:rsidRDefault="00000000">
            <w:pPr>
              <w:pStyle w:val="Compact"/>
              <w:jc w:val="center"/>
            </w:pPr>
            <w:r>
              <w:t>EfficientNet-B0 → GoogLeNet</w:t>
            </w:r>
          </w:p>
        </w:tc>
        <w:tc>
          <w:tcPr>
            <w:tcW w:w="0" w:type="auto"/>
          </w:tcPr>
          <w:p w14:paraId="284ECE41" w14:textId="77777777" w:rsidR="00426235" w:rsidRDefault="00000000">
            <w:pPr>
              <w:pStyle w:val="Compact"/>
              <w:jc w:val="center"/>
            </w:pPr>
            <w:r>
              <w:t>87.82%</w:t>
            </w:r>
          </w:p>
        </w:tc>
        <w:tc>
          <w:tcPr>
            <w:tcW w:w="0" w:type="auto"/>
          </w:tcPr>
          <w:p w14:paraId="724B6056" w14:textId="77777777" w:rsidR="00426235" w:rsidRDefault="00000000">
            <w:pPr>
              <w:pStyle w:val="Compact"/>
              <w:jc w:val="center"/>
            </w:pPr>
            <w:r>
              <w:t>100.00%</w:t>
            </w:r>
          </w:p>
        </w:tc>
        <w:tc>
          <w:tcPr>
            <w:tcW w:w="0" w:type="auto"/>
          </w:tcPr>
          <w:p w14:paraId="50BBC372" w14:textId="77777777" w:rsidR="00426235" w:rsidRDefault="00000000">
            <w:pPr>
              <w:pStyle w:val="Compact"/>
              <w:jc w:val="center"/>
            </w:pPr>
            <w:r>
              <w:t>+12.18%</w:t>
            </w:r>
          </w:p>
        </w:tc>
      </w:tr>
    </w:tbl>
    <w:p w14:paraId="649D0B40" w14:textId="77777777" w:rsidR="00426235" w:rsidRDefault="00000000" w:rsidP="00BE3CCA">
      <w:pPr>
        <w:pStyle w:val="a0"/>
        <w:ind w:firstLine="480"/>
      </w:pPr>
      <w:r>
        <w:rPr>
          <w:rFonts w:hint="eastAsia"/>
          <w:b/>
          <w:bCs/>
        </w:rPr>
        <w:t>表</w:t>
      </w:r>
      <w:r>
        <w:rPr>
          <w:rFonts w:hint="eastAsia"/>
          <w:b/>
          <w:bCs/>
        </w:rPr>
        <w:t>3</w:t>
      </w:r>
      <w:r>
        <w:rPr>
          <w:rFonts w:hint="eastAsia"/>
          <w:b/>
          <w:bCs/>
        </w:rPr>
        <w:t>：转移性变化分析</w:t>
      </w:r>
    </w:p>
    <w:p w14:paraId="6FCE0CF8" w14:textId="0BEF4992" w:rsidR="00426235" w:rsidRDefault="00000000" w:rsidP="00100DFA">
      <w:pPr>
        <w:pStyle w:val="a0"/>
      </w:pPr>
      <w:r>
        <w:rPr>
          <w:rFonts w:hint="eastAsia"/>
        </w:rPr>
        <w:t>有趣的发现是，跨架构转移有时甚至比同架构转移更有效。例如，</w:t>
      </w:r>
      <w:r>
        <w:rPr>
          <w:rFonts w:hint="eastAsia"/>
        </w:rPr>
        <w:t>ResNet-18</w:t>
      </w:r>
      <w:r>
        <w:rPr>
          <w:rFonts w:hint="eastAsia"/>
        </w:rPr>
        <w:t>生成的触发器在</w:t>
      </w:r>
      <w:r>
        <w:rPr>
          <w:rFonts w:hint="eastAsia"/>
        </w:rPr>
        <w:t>EfficientNet-B0</w:t>
      </w:r>
      <w:r>
        <w:rPr>
          <w:rFonts w:hint="eastAsia"/>
        </w:rPr>
        <w:t>上的成功率（</w:t>
      </w:r>
      <w:r>
        <w:rPr>
          <w:rFonts w:hint="eastAsia"/>
        </w:rPr>
        <w:t>99.97%</w:t>
      </w:r>
      <w:r>
        <w:rPr>
          <w:rFonts w:hint="eastAsia"/>
        </w:rPr>
        <w:t>）高于在</w:t>
      </w:r>
      <w:r>
        <w:rPr>
          <w:rFonts w:hint="eastAsia"/>
        </w:rPr>
        <w:t>ResNet-18</w:t>
      </w:r>
      <w:r>
        <w:rPr>
          <w:rFonts w:hint="eastAsia"/>
        </w:rPr>
        <w:t>上的成功率（</w:t>
      </w:r>
      <w:r>
        <w:rPr>
          <w:rFonts w:hint="eastAsia"/>
        </w:rPr>
        <w:t>97.36%</w:t>
      </w:r>
      <w:r>
        <w:rPr>
          <w:rFonts w:hint="eastAsia"/>
        </w:rPr>
        <w:t>）。这一发现挑战了后门攻击研究中常见的假设，即同架构转移应该优于跨架构转移。</w:t>
      </w:r>
    </w:p>
    <w:p w14:paraId="4ED474EA" w14:textId="77777777" w:rsidR="00426235" w:rsidRDefault="00000000">
      <w:pPr>
        <w:pStyle w:val="2"/>
      </w:pPr>
      <w:bookmarkStart w:id="16" w:name="四转移性影响因素研究"/>
      <w:bookmarkEnd w:id="11"/>
      <w:bookmarkEnd w:id="15"/>
      <w:r>
        <w:rPr>
          <w:rFonts w:hint="eastAsia"/>
        </w:rPr>
        <w:t>四、转移性影响因素研究</w:t>
      </w:r>
    </w:p>
    <w:p w14:paraId="4796015C" w14:textId="6695ACF7" w:rsidR="00426235" w:rsidRDefault="00000000">
      <w:pPr>
        <w:pStyle w:val="3"/>
      </w:pPr>
      <w:bookmarkStart w:id="17" w:name="模型容量假设"/>
      <w:r>
        <w:t>1</w:t>
      </w:r>
      <w:r w:rsidR="00D2585C">
        <w:rPr>
          <w:rFonts w:hint="eastAsia"/>
        </w:rPr>
        <w:t>.</w:t>
      </w:r>
      <w:r>
        <w:t xml:space="preserve"> </w:t>
      </w:r>
      <w:r>
        <w:rPr>
          <w:rFonts w:hint="eastAsia"/>
        </w:rPr>
        <w:t>模型容量假设</w:t>
      </w:r>
    </w:p>
    <w:p w14:paraId="60BF03C8" w14:textId="77777777" w:rsidR="00426235" w:rsidRDefault="00000000" w:rsidP="007447AC">
      <w:pPr>
        <w:pStyle w:val="FirstParagraph"/>
        <w:ind w:firstLine="480"/>
      </w:pPr>
      <w:r>
        <w:rPr>
          <w:rFonts w:hint="eastAsia"/>
          <w:b/>
          <w:bCs/>
        </w:rPr>
        <w:t>假设</w:t>
      </w:r>
      <w:r>
        <w:rPr>
          <w:rFonts w:hint="eastAsia"/>
          <w:b/>
          <w:bCs/>
        </w:rPr>
        <w:t>H1</w:t>
      </w:r>
      <w:r>
        <w:rPr>
          <w:rFonts w:hint="eastAsia"/>
        </w:rPr>
        <w:t>：使用更高容量的替代模型可以生成具有更强转移性的触发器。</w:t>
      </w:r>
    </w:p>
    <w:p w14:paraId="1B00F5F0" w14:textId="5F58C5C2" w:rsidR="00426235" w:rsidRDefault="00000000" w:rsidP="007447AC">
      <w:pPr>
        <w:pStyle w:val="a0"/>
        <w:ind w:firstLine="480"/>
      </w:pPr>
      <w:r>
        <w:rPr>
          <w:rFonts w:hint="eastAsia"/>
        </w:rPr>
        <w:t>为了验证这一假设，我们比较了三种模型的参数量与作为替代模型时的平均</w:t>
      </w:r>
      <w:r>
        <w:rPr>
          <w:rFonts w:hint="eastAsia"/>
        </w:rPr>
        <w:t>ASR</w:t>
      </w:r>
      <w:r>
        <w:rPr>
          <w:rFonts w:hint="eastAsia"/>
        </w:rPr>
        <w:t>：</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1800"/>
        <w:gridCol w:w="1267"/>
        <w:gridCol w:w="1419"/>
      </w:tblGrid>
      <w:tr w:rsidR="00426235" w14:paraId="2DB0AFA3" w14:textId="77777777" w:rsidTr="00C42F0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EE7A958" w14:textId="77777777" w:rsidR="00426235" w:rsidRDefault="00000000">
            <w:pPr>
              <w:pStyle w:val="Compact"/>
              <w:jc w:val="center"/>
            </w:pPr>
            <w:r>
              <w:rPr>
                <w:rFonts w:hint="eastAsia"/>
              </w:rPr>
              <w:lastRenderedPageBreak/>
              <w:t>模型</w:t>
            </w:r>
          </w:p>
        </w:tc>
        <w:tc>
          <w:tcPr>
            <w:tcW w:w="0" w:type="auto"/>
            <w:tcBorders>
              <w:bottom w:val="none" w:sz="0" w:space="0" w:color="auto"/>
            </w:tcBorders>
          </w:tcPr>
          <w:p w14:paraId="68584E70" w14:textId="77777777" w:rsidR="00426235" w:rsidRDefault="00000000">
            <w:pPr>
              <w:pStyle w:val="Compact"/>
              <w:jc w:val="center"/>
            </w:pPr>
            <w:r>
              <w:rPr>
                <w:rFonts w:hint="eastAsia"/>
              </w:rPr>
              <w:t>参数量</w:t>
            </w:r>
            <w:r>
              <w:rPr>
                <w:rFonts w:hint="eastAsia"/>
              </w:rPr>
              <w:t>(M)</w:t>
            </w:r>
          </w:p>
        </w:tc>
        <w:tc>
          <w:tcPr>
            <w:tcW w:w="0" w:type="auto"/>
            <w:tcBorders>
              <w:bottom w:val="none" w:sz="0" w:space="0" w:color="auto"/>
            </w:tcBorders>
          </w:tcPr>
          <w:p w14:paraId="1EC604BE" w14:textId="77777777" w:rsidR="00426235" w:rsidRDefault="00000000">
            <w:pPr>
              <w:pStyle w:val="Compact"/>
              <w:jc w:val="center"/>
            </w:pPr>
            <w:r>
              <w:rPr>
                <w:rFonts w:hint="eastAsia"/>
              </w:rPr>
              <w:t>行平均</w:t>
            </w:r>
            <w:r>
              <w:rPr>
                <w:rFonts w:hint="eastAsia"/>
              </w:rPr>
              <w:t>ASR</w:t>
            </w:r>
          </w:p>
        </w:tc>
      </w:tr>
      <w:tr w:rsidR="00426235" w14:paraId="0907A79C" w14:textId="77777777" w:rsidTr="00C42F04">
        <w:tc>
          <w:tcPr>
            <w:tcW w:w="0" w:type="auto"/>
          </w:tcPr>
          <w:p w14:paraId="6E4EC60C" w14:textId="77777777" w:rsidR="00426235" w:rsidRDefault="00000000">
            <w:pPr>
              <w:pStyle w:val="Compact"/>
              <w:jc w:val="center"/>
            </w:pPr>
            <w:r>
              <w:t>ResNet-18</w:t>
            </w:r>
          </w:p>
        </w:tc>
        <w:tc>
          <w:tcPr>
            <w:tcW w:w="0" w:type="auto"/>
          </w:tcPr>
          <w:p w14:paraId="5F109F49" w14:textId="77777777" w:rsidR="00426235" w:rsidRDefault="00000000">
            <w:pPr>
              <w:pStyle w:val="Compact"/>
              <w:jc w:val="center"/>
            </w:pPr>
            <w:r>
              <w:t>11.2</w:t>
            </w:r>
          </w:p>
        </w:tc>
        <w:tc>
          <w:tcPr>
            <w:tcW w:w="0" w:type="auto"/>
          </w:tcPr>
          <w:p w14:paraId="1BBBA723" w14:textId="77777777" w:rsidR="00426235" w:rsidRDefault="00000000">
            <w:pPr>
              <w:pStyle w:val="Compact"/>
              <w:jc w:val="center"/>
            </w:pPr>
            <w:r>
              <w:t>98.96%</w:t>
            </w:r>
          </w:p>
        </w:tc>
      </w:tr>
      <w:tr w:rsidR="00426235" w14:paraId="7FBF4AFD" w14:textId="77777777" w:rsidTr="00C42F04">
        <w:tc>
          <w:tcPr>
            <w:tcW w:w="0" w:type="auto"/>
          </w:tcPr>
          <w:p w14:paraId="05B5C080" w14:textId="77777777" w:rsidR="00426235" w:rsidRDefault="00000000">
            <w:pPr>
              <w:pStyle w:val="Compact"/>
              <w:jc w:val="center"/>
            </w:pPr>
            <w:r>
              <w:t>GoogLeNet</w:t>
            </w:r>
          </w:p>
        </w:tc>
        <w:tc>
          <w:tcPr>
            <w:tcW w:w="0" w:type="auto"/>
          </w:tcPr>
          <w:p w14:paraId="28A6A427" w14:textId="77777777" w:rsidR="00426235" w:rsidRDefault="00000000">
            <w:pPr>
              <w:pStyle w:val="Compact"/>
              <w:jc w:val="center"/>
            </w:pPr>
            <w:r>
              <w:t>6.8</w:t>
            </w:r>
          </w:p>
        </w:tc>
        <w:tc>
          <w:tcPr>
            <w:tcW w:w="0" w:type="auto"/>
          </w:tcPr>
          <w:p w14:paraId="1BF421BF" w14:textId="77777777" w:rsidR="00426235" w:rsidRDefault="00000000">
            <w:pPr>
              <w:pStyle w:val="Compact"/>
              <w:jc w:val="center"/>
            </w:pPr>
            <w:r>
              <w:t>99.83%</w:t>
            </w:r>
          </w:p>
        </w:tc>
      </w:tr>
      <w:tr w:rsidR="00426235" w14:paraId="46362808" w14:textId="77777777" w:rsidTr="00C42F04">
        <w:tc>
          <w:tcPr>
            <w:tcW w:w="0" w:type="auto"/>
          </w:tcPr>
          <w:p w14:paraId="68ACCB5C" w14:textId="77777777" w:rsidR="00426235" w:rsidRDefault="00000000">
            <w:pPr>
              <w:pStyle w:val="Compact"/>
              <w:jc w:val="center"/>
            </w:pPr>
            <w:r>
              <w:t>EfficientNet-B0</w:t>
            </w:r>
          </w:p>
        </w:tc>
        <w:tc>
          <w:tcPr>
            <w:tcW w:w="0" w:type="auto"/>
          </w:tcPr>
          <w:p w14:paraId="48028793" w14:textId="77777777" w:rsidR="00426235" w:rsidRDefault="00000000">
            <w:pPr>
              <w:pStyle w:val="Compact"/>
              <w:jc w:val="center"/>
            </w:pPr>
            <w:r>
              <w:t>5.3</w:t>
            </w:r>
          </w:p>
        </w:tc>
        <w:tc>
          <w:tcPr>
            <w:tcW w:w="0" w:type="auto"/>
          </w:tcPr>
          <w:p w14:paraId="2417F59C" w14:textId="77777777" w:rsidR="00426235" w:rsidRDefault="00000000">
            <w:pPr>
              <w:pStyle w:val="Compact"/>
              <w:jc w:val="center"/>
            </w:pPr>
            <w:r>
              <w:t>89.96%</w:t>
            </w:r>
          </w:p>
        </w:tc>
      </w:tr>
    </w:tbl>
    <w:p w14:paraId="26AA83E3" w14:textId="77777777" w:rsidR="00426235" w:rsidRDefault="00000000" w:rsidP="007447AC">
      <w:pPr>
        <w:pStyle w:val="a0"/>
        <w:ind w:firstLine="480"/>
      </w:pPr>
      <w:r>
        <w:rPr>
          <w:rFonts w:hint="eastAsia"/>
          <w:b/>
          <w:bCs/>
        </w:rPr>
        <w:t>表</w:t>
      </w:r>
      <w:r>
        <w:rPr>
          <w:rFonts w:hint="eastAsia"/>
          <w:b/>
          <w:bCs/>
        </w:rPr>
        <w:t>4</w:t>
      </w:r>
      <w:r>
        <w:rPr>
          <w:rFonts w:hint="eastAsia"/>
          <w:b/>
          <w:bCs/>
        </w:rPr>
        <w:t>：模型容量与转移性关系</w:t>
      </w:r>
    </w:p>
    <w:p w14:paraId="76927227" w14:textId="77777777" w:rsidR="00426235" w:rsidRDefault="00000000" w:rsidP="007447AC">
      <w:pPr>
        <w:pStyle w:val="a0"/>
        <w:ind w:firstLine="480"/>
      </w:pPr>
      <w:r>
        <w:rPr>
          <w:rFonts w:hint="eastAsia"/>
        </w:rPr>
        <w:t>从数据来看，参数量最多的</w:t>
      </w:r>
      <w:r>
        <w:rPr>
          <w:rFonts w:hint="eastAsia"/>
        </w:rPr>
        <w:t>ResNet-18</w:t>
      </w:r>
      <w:r>
        <w:rPr>
          <w:rFonts w:hint="eastAsia"/>
        </w:rPr>
        <w:t>（</w:t>
      </w:r>
      <w:r>
        <w:rPr>
          <w:rFonts w:hint="eastAsia"/>
        </w:rPr>
        <w:t>11.2M</w:t>
      </w:r>
      <w:r>
        <w:rPr>
          <w:rFonts w:hint="eastAsia"/>
        </w:rPr>
        <w:t>）并未获得最高的转移性，而参数量中等的</w:t>
      </w:r>
      <w:r>
        <w:rPr>
          <w:rFonts w:hint="eastAsia"/>
        </w:rPr>
        <w:t>GoogLeNet</w:t>
      </w:r>
      <w:r>
        <w:rPr>
          <w:rFonts w:hint="eastAsia"/>
        </w:rPr>
        <w:t>（</w:t>
      </w:r>
      <w:r>
        <w:rPr>
          <w:rFonts w:hint="eastAsia"/>
        </w:rPr>
        <w:t>6.8M</w:t>
      </w:r>
      <w:r>
        <w:rPr>
          <w:rFonts w:hint="eastAsia"/>
        </w:rPr>
        <w:t>）反而表现最好。这表明模型容量并非决定转移性的唯一因素。</w:t>
      </w:r>
    </w:p>
    <w:p w14:paraId="6B324870" w14:textId="77777777" w:rsidR="00426235" w:rsidRDefault="00000000" w:rsidP="007447AC">
      <w:pPr>
        <w:pStyle w:val="a0"/>
        <w:ind w:firstLine="480"/>
      </w:pPr>
      <w:r>
        <w:rPr>
          <w:rFonts w:hint="eastAsia"/>
        </w:rPr>
        <w:t>然而，如果我们考虑</w:t>
      </w:r>
      <w:r>
        <w:rPr>
          <w:rFonts w:hint="eastAsia"/>
        </w:rPr>
        <w:t>GoogLeNet</w:t>
      </w:r>
      <w:r>
        <w:rPr>
          <w:rFonts w:hint="eastAsia"/>
        </w:rPr>
        <w:t>的特殊架构设计（</w:t>
      </w:r>
      <w:r>
        <w:rPr>
          <w:rFonts w:hint="eastAsia"/>
        </w:rPr>
        <w:t>Inception</w:t>
      </w:r>
      <w:r>
        <w:rPr>
          <w:rFonts w:hint="eastAsia"/>
        </w:rPr>
        <w:t>模块），可以发现具有多尺度特征提取能力的模型可能更适合生成具有通用性的触发器。这一发现为替代模型选择提供了新的指导原则：应选择具有强特征提取能力的模型，而非单纯追求更大的参数量。</w:t>
      </w:r>
    </w:p>
    <w:p w14:paraId="0311DDB6" w14:textId="25DD034A" w:rsidR="00426235" w:rsidRDefault="00000000">
      <w:pPr>
        <w:pStyle w:val="3"/>
      </w:pPr>
      <w:bookmarkStart w:id="18" w:name="转移性对称性假设"/>
      <w:bookmarkEnd w:id="17"/>
      <w:r>
        <w:t>2</w:t>
      </w:r>
      <w:r w:rsidR="00E656F6">
        <w:rPr>
          <w:rFonts w:hint="eastAsia"/>
        </w:rPr>
        <w:t>.</w:t>
      </w:r>
      <w:r>
        <w:t xml:space="preserve"> </w:t>
      </w:r>
      <w:r>
        <w:rPr>
          <w:rFonts w:hint="eastAsia"/>
        </w:rPr>
        <w:t>转移性对称性假设</w:t>
      </w:r>
    </w:p>
    <w:p w14:paraId="5F734DAE" w14:textId="77777777" w:rsidR="00426235" w:rsidRDefault="00000000" w:rsidP="00C972E7">
      <w:pPr>
        <w:pStyle w:val="FirstParagraph"/>
        <w:ind w:firstLine="480"/>
      </w:pPr>
      <w:r>
        <w:rPr>
          <w:rFonts w:hint="eastAsia"/>
          <w:b/>
          <w:bCs/>
        </w:rPr>
        <w:t>假设</w:t>
      </w:r>
      <w:r>
        <w:rPr>
          <w:rFonts w:hint="eastAsia"/>
          <w:b/>
          <w:bCs/>
        </w:rPr>
        <w:t>H2</w:t>
      </w:r>
      <w:r>
        <w:rPr>
          <w:rFonts w:hint="eastAsia"/>
        </w:rPr>
        <w:t>：触发器的转移性是双向对称的，即</w:t>
      </w:r>
      <m:oMath>
        <m:r>
          <w:rPr>
            <w:rFonts w:ascii="Cambria Math" w:hAnsi="Cambria Math"/>
          </w:rPr>
          <m:t>A</m:t>
        </m:r>
        <m:r>
          <m:rPr>
            <m:sty m:val="p"/>
          </m:rPr>
          <w:rPr>
            <w:rFonts w:ascii="Cambria Math" w:hAnsi="Cambria Math"/>
          </w:rPr>
          <m:t>→</m:t>
        </m:r>
        <m:r>
          <w:rPr>
            <w:rFonts w:ascii="Cambria Math" w:hAnsi="Cambria Math"/>
          </w:rPr>
          <m:t>B</m:t>
        </m:r>
      </m:oMath>
      <w:r>
        <w:rPr>
          <w:rFonts w:hint="eastAsia"/>
        </w:rPr>
        <w:t>的转移成功率与</w:t>
      </w:r>
      <m:oMath>
        <m:r>
          <w:rPr>
            <w:rFonts w:ascii="Cambria Math" w:hAnsi="Cambria Math"/>
          </w:rPr>
          <m:t>B</m:t>
        </m:r>
        <m:r>
          <m:rPr>
            <m:sty m:val="p"/>
          </m:rPr>
          <w:rPr>
            <w:rFonts w:ascii="Cambria Math" w:hAnsi="Cambria Math"/>
          </w:rPr>
          <m:t>→</m:t>
        </m:r>
        <m:r>
          <w:rPr>
            <w:rFonts w:ascii="Cambria Math" w:hAnsi="Cambria Math"/>
          </w:rPr>
          <m:t>A</m:t>
        </m:r>
      </m:oMath>
      <w:r>
        <w:rPr>
          <w:rFonts w:hint="eastAsia"/>
        </w:rPr>
        <w:t>的转移成功率相近。</w:t>
      </w:r>
    </w:p>
    <w:p w14:paraId="6577FFC0" w14:textId="77777777" w:rsidR="00426235" w:rsidRDefault="00000000" w:rsidP="00C972E7">
      <w:pPr>
        <w:pStyle w:val="a0"/>
        <w:ind w:firstLine="480"/>
      </w:pPr>
      <w:r>
        <w:rPr>
          <w:rFonts w:hint="eastAsia"/>
        </w:rPr>
        <w:t>我们的分析强烈支持这一假设。实验数据显示，</w:t>
      </w:r>
      <w:r>
        <w:rPr>
          <w:rFonts w:hint="eastAsia"/>
        </w:rPr>
        <w:t>ResNet-18</w:t>
      </w:r>
      <w:r>
        <w:rPr>
          <w:rFonts w:hint="eastAsia"/>
        </w:rPr>
        <w:t>与</w:t>
      </w:r>
      <w:r>
        <w:rPr>
          <w:rFonts w:hint="eastAsia"/>
        </w:rPr>
        <w:t>GoogLeNet</w:t>
      </w:r>
      <w:r>
        <w:rPr>
          <w:rFonts w:hint="eastAsia"/>
        </w:rPr>
        <w:t>之间的转移成功率差异仅为</w:t>
      </w:r>
      <w:r>
        <w:rPr>
          <w:rFonts w:hint="eastAsia"/>
        </w:rPr>
        <w:t>0.05%</w:t>
      </w:r>
      <w:r>
        <w:rPr>
          <w:rFonts w:hint="eastAsia"/>
        </w:rPr>
        <w:t>，</w:t>
      </w:r>
      <w:r>
        <w:rPr>
          <w:rFonts w:hint="eastAsia"/>
        </w:rPr>
        <w:t>GoogLeNet</w:t>
      </w:r>
      <w:r>
        <w:rPr>
          <w:rFonts w:hint="eastAsia"/>
        </w:rPr>
        <w:t>与</w:t>
      </w:r>
      <w:r>
        <w:rPr>
          <w:rFonts w:hint="eastAsia"/>
        </w:rPr>
        <w:t>EfficientNet-B0</w:t>
      </w:r>
      <w:r>
        <w:rPr>
          <w:rFonts w:hint="eastAsia"/>
        </w:rPr>
        <w:t>之间的转移成功率完全相同。这种对称性可能源于以下机制：</w:t>
      </w:r>
    </w:p>
    <w:p w14:paraId="479B5D0A" w14:textId="77777777" w:rsidR="00426235" w:rsidRDefault="00000000" w:rsidP="00C972E7">
      <w:pPr>
        <w:pStyle w:val="a0"/>
        <w:ind w:firstLine="480"/>
      </w:pPr>
      <w:r>
        <w:rPr>
          <w:rFonts w:hint="eastAsia"/>
        </w:rPr>
        <w:t>NARCISSUS</w:t>
      </w:r>
      <w:r>
        <w:rPr>
          <w:rFonts w:hint="eastAsia"/>
        </w:rPr>
        <w:t>触发生成的优化目标是使触发器指向目标类的“内部”，即目标类样本在特征空间中的核心区域。由于这种优化不依赖于特定模型的决策边界，而是依赖于目标类样本的内在特征分布，因此触发的核心特征在不同模型之间是通用的。</w:t>
      </w:r>
    </w:p>
    <w:p w14:paraId="2E4D1EE0" w14:textId="5E332807" w:rsidR="00426235" w:rsidRDefault="00000000">
      <w:pPr>
        <w:pStyle w:val="3"/>
      </w:pPr>
      <w:bookmarkStart w:id="19" w:name="模型相似性假设"/>
      <w:bookmarkEnd w:id="18"/>
      <w:r>
        <w:t>3</w:t>
      </w:r>
      <w:r w:rsidR="00DB494F">
        <w:rPr>
          <w:rFonts w:hint="eastAsia"/>
        </w:rPr>
        <w:t>.</w:t>
      </w:r>
      <w:r>
        <w:t xml:space="preserve"> </w:t>
      </w:r>
      <w:r>
        <w:rPr>
          <w:rFonts w:hint="eastAsia"/>
        </w:rPr>
        <w:t>模型相似性假设</w:t>
      </w:r>
    </w:p>
    <w:p w14:paraId="5FA653D6" w14:textId="77777777" w:rsidR="00426235" w:rsidRDefault="00000000" w:rsidP="00C972E7">
      <w:pPr>
        <w:pStyle w:val="FirstParagraph"/>
        <w:ind w:firstLine="480"/>
      </w:pPr>
      <w:r>
        <w:rPr>
          <w:rFonts w:hint="eastAsia"/>
          <w:b/>
          <w:bCs/>
        </w:rPr>
        <w:t>假设</w:t>
      </w:r>
      <w:r>
        <w:rPr>
          <w:rFonts w:hint="eastAsia"/>
          <w:b/>
          <w:bCs/>
        </w:rPr>
        <w:t>H3</w:t>
      </w:r>
      <w:r>
        <w:rPr>
          <w:rFonts w:hint="eastAsia"/>
        </w:rPr>
        <w:t>：模型架构越相似，触发器转移性越强。</w:t>
      </w:r>
    </w:p>
    <w:p w14:paraId="0AEB1821" w14:textId="77777777" w:rsidR="00426235" w:rsidRDefault="00000000" w:rsidP="00C972E7">
      <w:pPr>
        <w:pStyle w:val="a0"/>
        <w:ind w:firstLine="480"/>
      </w:pPr>
      <w:r>
        <w:rPr>
          <w:rFonts w:hint="eastAsia"/>
        </w:rPr>
        <w:t>从实验数据来看，这一假设并未得到充分支持。例如，</w:t>
      </w:r>
      <w:r>
        <w:rPr>
          <w:rFonts w:hint="eastAsia"/>
        </w:rPr>
        <w:t>ResNet-18</w:t>
      </w:r>
      <w:r>
        <w:rPr>
          <w:rFonts w:hint="eastAsia"/>
        </w:rPr>
        <w:t>和</w:t>
      </w:r>
      <w:r>
        <w:rPr>
          <w:rFonts w:hint="eastAsia"/>
        </w:rPr>
        <w:t>EfficientNet-B0</w:t>
      </w:r>
      <w:r>
        <w:rPr>
          <w:rFonts w:hint="eastAsia"/>
        </w:rPr>
        <w:t>都是卷积神经网络，但它们之间的转移成功率（</w:t>
      </w:r>
      <w:r>
        <w:rPr>
          <w:rFonts w:hint="eastAsia"/>
        </w:rPr>
        <w:t>ResNet-18</w:t>
      </w:r>
      <w:r>
        <w:rPr>
          <w:rFonts w:hint="eastAsia"/>
        </w:rPr>
        <w:t>→</w:t>
      </w:r>
      <w:r>
        <w:rPr>
          <w:rFonts w:hint="eastAsia"/>
        </w:rPr>
        <w:t>EfficientNet-B0:</w:t>
      </w:r>
      <w:r>
        <w:t xml:space="preserve"> </w:t>
      </w:r>
      <w:r>
        <w:rPr>
          <w:rFonts w:hint="eastAsia"/>
        </w:rPr>
        <w:t>99.97%</w:t>
      </w:r>
      <w:r>
        <w:rPr>
          <w:rFonts w:hint="eastAsia"/>
        </w:rPr>
        <w:t>）反而高于</w:t>
      </w:r>
      <w:r>
        <w:rPr>
          <w:rFonts w:hint="eastAsia"/>
        </w:rPr>
        <w:t>ResNet-18</w:t>
      </w:r>
      <w:r>
        <w:rPr>
          <w:rFonts w:hint="eastAsia"/>
        </w:rPr>
        <w:t>同架构转移（</w:t>
      </w:r>
      <w:r>
        <w:rPr>
          <w:rFonts w:hint="eastAsia"/>
        </w:rPr>
        <w:t>97.36%</w:t>
      </w:r>
      <w:r>
        <w:rPr>
          <w:rFonts w:hint="eastAsia"/>
        </w:rPr>
        <w:t>）。这表明架构相似性并非转移性的主要决定因素。</w:t>
      </w:r>
    </w:p>
    <w:p w14:paraId="7809663A" w14:textId="77777777" w:rsidR="00426235" w:rsidRDefault="00000000" w:rsidP="00C972E7">
      <w:pPr>
        <w:pStyle w:val="a0"/>
        <w:ind w:firstLine="480"/>
      </w:pPr>
      <w:r>
        <w:rPr>
          <w:rFonts w:hint="eastAsia"/>
        </w:rPr>
        <w:t>实际上，转移性可能更多地取决于模型学习到的特征表示的通用性，而非架构的相似性。</w:t>
      </w:r>
      <w:r>
        <w:rPr>
          <w:rFonts w:hint="eastAsia"/>
        </w:rPr>
        <w:t>GoogLeNet</w:t>
      </w:r>
      <w:r>
        <w:rPr>
          <w:rFonts w:hint="eastAsia"/>
        </w:rPr>
        <w:t>之所以在各种转移场景中表现最佳，是因为其</w:t>
      </w:r>
      <w:r>
        <w:rPr>
          <w:rFonts w:hint="eastAsia"/>
        </w:rPr>
        <w:t>Inception</w:t>
      </w:r>
      <w:r>
        <w:rPr>
          <w:rFonts w:hint="eastAsia"/>
        </w:rPr>
        <w:t>结构能够提取更加通用和鲁棒的特征表示。</w:t>
      </w:r>
    </w:p>
    <w:p w14:paraId="1BA3C0C6" w14:textId="7E728552" w:rsidR="00426235" w:rsidRDefault="00000000">
      <w:pPr>
        <w:pStyle w:val="3"/>
      </w:pPr>
      <w:bookmarkStart w:id="20" w:name="触发器特性假设"/>
      <w:bookmarkEnd w:id="19"/>
      <w:r>
        <w:lastRenderedPageBreak/>
        <w:t>4</w:t>
      </w:r>
      <w:r w:rsidR="007C76E0">
        <w:rPr>
          <w:rFonts w:hint="eastAsia"/>
        </w:rPr>
        <w:t>.</w:t>
      </w:r>
      <w:r>
        <w:t xml:space="preserve"> </w:t>
      </w:r>
      <w:r>
        <w:rPr>
          <w:rFonts w:hint="eastAsia"/>
        </w:rPr>
        <w:t>触发器特性假设</w:t>
      </w:r>
    </w:p>
    <w:p w14:paraId="74272F96" w14:textId="77777777" w:rsidR="00426235" w:rsidRDefault="00000000" w:rsidP="005844C1">
      <w:pPr>
        <w:pStyle w:val="FirstParagraph"/>
        <w:ind w:firstLine="480"/>
      </w:pPr>
      <w:r>
        <w:rPr>
          <w:rFonts w:hint="eastAsia"/>
          <w:b/>
          <w:bCs/>
        </w:rPr>
        <w:t>假设</w:t>
      </w:r>
      <w:r>
        <w:rPr>
          <w:rFonts w:hint="eastAsia"/>
          <w:b/>
          <w:bCs/>
        </w:rPr>
        <w:t>H4</w:t>
      </w:r>
      <w:r>
        <w:rPr>
          <w:rFonts w:hint="eastAsia"/>
        </w:rPr>
        <w:t>：</w:t>
      </w:r>
      <w:r>
        <w:rPr>
          <w:rFonts w:hint="eastAsia"/>
        </w:rPr>
        <w:t>NARCISSUS</w:t>
      </w:r>
      <w:r>
        <w:rPr>
          <w:rFonts w:hint="eastAsia"/>
        </w:rPr>
        <w:t>触发的特性（如频率分布、空间分布）与其转移性存在相关性。</w:t>
      </w:r>
    </w:p>
    <w:p w14:paraId="1E598E85" w14:textId="77777777" w:rsidR="00426235" w:rsidRDefault="00000000" w:rsidP="005844C1">
      <w:pPr>
        <w:pStyle w:val="a0"/>
        <w:ind w:firstLine="480"/>
      </w:pPr>
      <w:r>
        <w:rPr>
          <w:rFonts w:hint="eastAsia"/>
        </w:rPr>
        <w:t>原始论文中的消融研究提供了间接证据。研究表明，当使用</w:t>
      </w:r>
      <m:oMath>
        <m:sSub>
          <m:sSubPr>
            <m:ctrlPr>
              <w:rPr>
                <w:rFonts w:ascii="Cambria Math" w:hAnsi="Cambria Math"/>
              </w:rPr>
            </m:ctrlPr>
          </m:sSubPr>
          <m:e>
            <m:r>
              <w:rPr>
                <w:rFonts w:ascii="Cambria Math" w:hAnsi="Cambria Math"/>
              </w:rPr>
              <m:t>L</m:t>
            </m:r>
          </m:e>
          <m:sub>
            <m:r>
              <m:rPr>
                <m:sty m:val="p"/>
              </m:rPr>
              <w:rPr>
                <w:rFonts w:ascii="Cambria Math" w:hAnsi="Cambria Math"/>
              </w:rPr>
              <m:t>∞</m:t>
            </m:r>
          </m:sub>
        </m:sSub>
      </m:oMath>
      <w:r>
        <w:rPr>
          <w:rFonts w:hint="eastAsia"/>
        </w:rPr>
        <w:t>范数约束时，生成的触发器包含大量高频</w:t>
      </w:r>
      <w:r>
        <w:t xml:space="preserve"> </w:t>
      </w:r>
      <w:r>
        <w:rPr>
          <w:rFonts w:hint="eastAsia"/>
        </w:rPr>
        <w:t>artifacts</w:t>
      </w:r>
      <w:r>
        <w:rPr>
          <w:rFonts w:hint="eastAsia"/>
        </w:rPr>
        <w:t>，这使得基于频率的防御方法可以有效检测。然而，如果对触发器施加低频约束（自适应攻击），则可以在保持较高攻击成功率的同时绕过检测。</w:t>
      </w:r>
    </w:p>
    <w:p w14:paraId="369B842C" w14:textId="31B42D49" w:rsidR="00426235" w:rsidRDefault="00000000" w:rsidP="005844C1">
      <w:pPr>
        <w:pStyle w:val="a0"/>
        <w:ind w:firstLine="480"/>
      </w:pPr>
      <w:r>
        <w:rPr>
          <w:rFonts w:hint="eastAsia"/>
        </w:rPr>
        <w:t>这表明，触发的频率特性确实影响其可检测性，但对其转移性的影响相对有限。无论触发器的频率特性如何，其核心的“指向目标类内部”的特性都能在不同模型间保持较好的泛化。</w:t>
      </w:r>
    </w:p>
    <w:p w14:paraId="072A563E" w14:textId="77777777" w:rsidR="00426235" w:rsidRDefault="00000000">
      <w:pPr>
        <w:pStyle w:val="2"/>
      </w:pPr>
      <w:bookmarkStart w:id="21" w:name="五实验验证与结果分析"/>
      <w:bookmarkEnd w:id="16"/>
      <w:bookmarkEnd w:id="20"/>
      <w:r>
        <w:rPr>
          <w:rFonts w:hint="eastAsia"/>
        </w:rPr>
        <w:t>五、实验验证与结果分析</w:t>
      </w:r>
    </w:p>
    <w:p w14:paraId="7E3B3C38" w14:textId="1754F95C" w:rsidR="00426235" w:rsidRDefault="00000000">
      <w:pPr>
        <w:pStyle w:val="3"/>
      </w:pPr>
      <w:bookmarkStart w:id="22" w:name="与基准方法的全面比较"/>
      <w:r>
        <w:t>1</w:t>
      </w:r>
      <w:r w:rsidR="00FC05D2">
        <w:rPr>
          <w:rFonts w:hint="eastAsia"/>
        </w:rPr>
        <w:t>.</w:t>
      </w:r>
      <w:r>
        <w:t xml:space="preserve"> </w:t>
      </w:r>
      <w:r>
        <w:rPr>
          <w:rFonts w:hint="eastAsia"/>
        </w:rPr>
        <w:t>与基准方法的全面比较</w:t>
      </w:r>
    </w:p>
    <w:p w14:paraId="41823D49" w14:textId="77777777" w:rsidR="00426235" w:rsidRDefault="00000000" w:rsidP="005844C1">
      <w:pPr>
        <w:pStyle w:val="FirstParagraph"/>
        <w:ind w:firstLine="480"/>
      </w:pPr>
      <w:r>
        <w:rPr>
          <w:rFonts w:hint="eastAsia"/>
        </w:rPr>
        <w:t>为了更全面地评估</w:t>
      </w:r>
      <w:r>
        <w:rPr>
          <w:rFonts w:hint="eastAsia"/>
        </w:rPr>
        <w:t>NARCISSUS</w:t>
      </w:r>
      <w:r>
        <w:rPr>
          <w:rFonts w:hint="eastAsia"/>
        </w:rPr>
        <w:t>的优势，我们将原始论文</w:t>
      </w:r>
      <w:r>
        <w:rPr>
          <w:rFonts w:hint="eastAsia"/>
        </w:rPr>
        <w:t>Table</w:t>
      </w:r>
      <w:r>
        <w:t xml:space="preserve"> </w:t>
      </w:r>
      <w:r>
        <w:rPr>
          <w:rFonts w:hint="eastAsia"/>
        </w:rPr>
        <w:t>III</w:t>
      </w:r>
      <w:r>
        <w:rPr>
          <w:rFonts w:hint="eastAsia"/>
        </w:rPr>
        <w:t>中的攻击结果进行了整理比较：</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1591"/>
        <w:gridCol w:w="936"/>
        <w:gridCol w:w="1667"/>
        <w:gridCol w:w="2193"/>
      </w:tblGrid>
      <w:tr w:rsidR="00426235" w14:paraId="443AFC14" w14:textId="77777777" w:rsidTr="008E66D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C75E69F" w14:textId="77777777" w:rsidR="00426235" w:rsidRDefault="00000000">
            <w:pPr>
              <w:pStyle w:val="Compact"/>
              <w:jc w:val="center"/>
            </w:pPr>
            <w:r>
              <w:rPr>
                <w:rFonts w:hint="eastAsia"/>
              </w:rPr>
              <w:t>攻击方法</w:t>
            </w:r>
          </w:p>
        </w:tc>
        <w:tc>
          <w:tcPr>
            <w:tcW w:w="0" w:type="auto"/>
            <w:tcBorders>
              <w:bottom w:val="none" w:sz="0" w:space="0" w:color="auto"/>
            </w:tcBorders>
          </w:tcPr>
          <w:p w14:paraId="121D3815" w14:textId="77777777" w:rsidR="00426235" w:rsidRDefault="00000000">
            <w:pPr>
              <w:pStyle w:val="Compact"/>
              <w:jc w:val="center"/>
            </w:pPr>
            <w:r>
              <w:rPr>
                <w:rFonts w:hint="eastAsia"/>
              </w:rPr>
              <w:t>投毒率</w:t>
            </w:r>
          </w:p>
        </w:tc>
        <w:tc>
          <w:tcPr>
            <w:tcW w:w="0" w:type="auto"/>
            <w:tcBorders>
              <w:bottom w:val="none" w:sz="0" w:space="0" w:color="auto"/>
            </w:tcBorders>
          </w:tcPr>
          <w:p w14:paraId="05FD3AB3" w14:textId="77777777" w:rsidR="00426235" w:rsidRDefault="00000000">
            <w:pPr>
              <w:pStyle w:val="Compact"/>
              <w:jc w:val="center"/>
            </w:pPr>
            <w:r>
              <w:t>CIFAR-10 ASR</w:t>
            </w:r>
          </w:p>
        </w:tc>
        <w:tc>
          <w:tcPr>
            <w:tcW w:w="0" w:type="auto"/>
            <w:tcBorders>
              <w:bottom w:val="none" w:sz="0" w:space="0" w:color="auto"/>
            </w:tcBorders>
          </w:tcPr>
          <w:p w14:paraId="5EC199ED" w14:textId="77777777" w:rsidR="00426235" w:rsidRDefault="00000000">
            <w:pPr>
              <w:pStyle w:val="Compact"/>
              <w:jc w:val="center"/>
            </w:pPr>
            <w:r>
              <w:t>Tiny-ImageNet ASR</w:t>
            </w:r>
          </w:p>
        </w:tc>
      </w:tr>
      <w:tr w:rsidR="00426235" w14:paraId="6238BF84" w14:textId="77777777" w:rsidTr="008E66D9">
        <w:tc>
          <w:tcPr>
            <w:tcW w:w="0" w:type="auto"/>
          </w:tcPr>
          <w:p w14:paraId="25E56315" w14:textId="77777777" w:rsidR="00426235" w:rsidRDefault="00000000">
            <w:pPr>
              <w:pStyle w:val="Compact"/>
              <w:jc w:val="center"/>
            </w:pPr>
            <w:r>
              <w:t>NARCISSUS</w:t>
            </w:r>
          </w:p>
        </w:tc>
        <w:tc>
          <w:tcPr>
            <w:tcW w:w="0" w:type="auto"/>
          </w:tcPr>
          <w:p w14:paraId="6C16F1F8" w14:textId="77777777" w:rsidR="00426235" w:rsidRDefault="00000000">
            <w:pPr>
              <w:pStyle w:val="Compact"/>
              <w:jc w:val="center"/>
            </w:pPr>
            <w:r>
              <w:t>0.05%</w:t>
            </w:r>
          </w:p>
        </w:tc>
        <w:tc>
          <w:tcPr>
            <w:tcW w:w="0" w:type="auto"/>
          </w:tcPr>
          <w:p w14:paraId="474DB306" w14:textId="77777777" w:rsidR="00426235" w:rsidRDefault="00000000">
            <w:pPr>
              <w:pStyle w:val="Compact"/>
              <w:jc w:val="center"/>
            </w:pPr>
            <w:r>
              <w:rPr>
                <w:b/>
                <w:bCs/>
              </w:rPr>
              <w:t>97.36%</w:t>
            </w:r>
          </w:p>
        </w:tc>
        <w:tc>
          <w:tcPr>
            <w:tcW w:w="0" w:type="auto"/>
          </w:tcPr>
          <w:p w14:paraId="0AD9D7CE" w14:textId="77777777" w:rsidR="00426235" w:rsidRDefault="00000000">
            <w:pPr>
              <w:pStyle w:val="Compact"/>
              <w:jc w:val="center"/>
            </w:pPr>
            <w:r>
              <w:rPr>
                <w:b/>
                <w:bCs/>
              </w:rPr>
              <w:t>85.81%</w:t>
            </w:r>
          </w:p>
        </w:tc>
      </w:tr>
      <w:tr w:rsidR="00426235" w14:paraId="408CAA55" w14:textId="77777777" w:rsidTr="008E66D9">
        <w:tc>
          <w:tcPr>
            <w:tcW w:w="0" w:type="auto"/>
          </w:tcPr>
          <w:p w14:paraId="3618284F" w14:textId="77777777" w:rsidR="00426235" w:rsidRDefault="00000000">
            <w:pPr>
              <w:pStyle w:val="Compact"/>
              <w:jc w:val="center"/>
            </w:pPr>
            <w:r>
              <w:t>LC[7]</w:t>
            </w:r>
          </w:p>
        </w:tc>
        <w:tc>
          <w:tcPr>
            <w:tcW w:w="0" w:type="auto"/>
          </w:tcPr>
          <w:p w14:paraId="57CF341E" w14:textId="77777777" w:rsidR="00426235" w:rsidRDefault="00000000">
            <w:pPr>
              <w:pStyle w:val="Compact"/>
              <w:jc w:val="center"/>
            </w:pPr>
            <w:r>
              <w:t>0.05%</w:t>
            </w:r>
          </w:p>
        </w:tc>
        <w:tc>
          <w:tcPr>
            <w:tcW w:w="0" w:type="auto"/>
          </w:tcPr>
          <w:p w14:paraId="430F3F6F" w14:textId="77777777" w:rsidR="00426235" w:rsidRDefault="00000000">
            <w:pPr>
              <w:pStyle w:val="Compact"/>
              <w:jc w:val="center"/>
            </w:pPr>
            <w:r>
              <w:t>3.21%</w:t>
            </w:r>
          </w:p>
        </w:tc>
        <w:tc>
          <w:tcPr>
            <w:tcW w:w="0" w:type="auto"/>
          </w:tcPr>
          <w:p w14:paraId="3B016BAD" w14:textId="77777777" w:rsidR="00426235" w:rsidRDefault="00000000">
            <w:pPr>
              <w:pStyle w:val="Compact"/>
              <w:jc w:val="center"/>
            </w:pPr>
            <w:r>
              <w:t>1.72%</w:t>
            </w:r>
          </w:p>
        </w:tc>
      </w:tr>
      <w:tr w:rsidR="00426235" w14:paraId="2DE93709" w14:textId="77777777" w:rsidTr="008E66D9">
        <w:tc>
          <w:tcPr>
            <w:tcW w:w="0" w:type="auto"/>
          </w:tcPr>
          <w:p w14:paraId="6F6F5A97" w14:textId="77777777" w:rsidR="00426235" w:rsidRDefault="00000000">
            <w:pPr>
              <w:pStyle w:val="Compact"/>
              <w:jc w:val="center"/>
            </w:pPr>
            <w:r>
              <w:t>HTBA[9]</w:t>
            </w:r>
          </w:p>
        </w:tc>
        <w:tc>
          <w:tcPr>
            <w:tcW w:w="0" w:type="auto"/>
          </w:tcPr>
          <w:p w14:paraId="1DF33949" w14:textId="77777777" w:rsidR="00426235" w:rsidRDefault="00000000">
            <w:pPr>
              <w:pStyle w:val="Compact"/>
              <w:jc w:val="center"/>
            </w:pPr>
            <w:r>
              <w:t>0.05%</w:t>
            </w:r>
          </w:p>
        </w:tc>
        <w:tc>
          <w:tcPr>
            <w:tcW w:w="0" w:type="auto"/>
          </w:tcPr>
          <w:p w14:paraId="16E964B0" w14:textId="77777777" w:rsidR="00426235" w:rsidRDefault="00000000">
            <w:pPr>
              <w:pStyle w:val="Compact"/>
              <w:jc w:val="center"/>
            </w:pPr>
            <w:r>
              <w:t>4.87%</w:t>
            </w:r>
          </w:p>
        </w:tc>
        <w:tc>
          <w:tcPr>
            <w:tcW w:w="0" w:type="auto"/>
          </w:tcPr>
          <w:p w14:paraId="12C86C23" w14:textId="77777777" w:rsidR="00426235" w:rsidRDefault="00000000">
            <w:pPr>
              <w:pStyle w:val="Compact"/>
              <w:jc w:val="center"/>
            </w:pPr>
            <w:r>
              <w:t>2.51%</w:t>
            </w:r>
          </w:p>
        </w:tc>
      </w:tr>
      <w:tr w:rsidR="00426235" w14:paraId="51988B54" w14:textId="77777777" w:rsidTr="008E66D9">
        <w:tc>
          <w:tcPr>
            <w:tcW w:w="0" w:type="auto"/>
          </w:tcPr>
          <w:p w14:paraId="66F11036" w14:textId="77777777" w:rsidR="00426235" w:rsidRDefault="00000000">
            <w:pPr>
              <w:pStyle w:val="Compact"/>
              <w:jc w:val="center"/>
            </w:pPr>
            <w:r>
              <w:t>SAA[10]</w:t>
            </w:r>
          </w:p>
        </w:tc>
        <w:tc>
          <w:tcPr>
            <w:tcW w:w="0" w:type="auto"/>
          </w:tcPr>
          <w:p w14:paraId="4907CD72" w14:textId="77777777" w:rsidR="00426235" w:rsidRDefault="00000000">
            <w:pPr>
              <w:pStyle w:val="Compact"/>
              <w:jc w:val="center"/>
            </w:pPr>
            <w:r>
              <w:t>0.05%</w:t>
            </w:r>
          </w:p>
        </w:tc>
        <w:tc>
          <w:tcPr>
            <w:tcW w:w="0" w:type="auto"/>
          </w:tcPr>
          <w:p w14:paraId="4B61627C" w14:textId="77777777" w:rsidR="00426235" w:rsidRDefault="00000000">
            <w:pPr>
              <w:pStyle w:val="Compact"/>
              <w:jc w:val="center"/>
            </w:pPr>
            <w:r>
              <w:t>6.00%</w:t>
            </w:r>
          </w:p>
        </w:tc>
        <w:tc>
          <w:tcPr>
            <w:tcW w:w="0" w:type="auto"/>
          </w:tcPr>
          <w:p w14:paraId="720C013E" w14:textId="77777777" w:rsidR="00426235" w:rsidRDefault="00000000">
            <w:pPr>
              <w:pStyle w:val="Compact"/>
              <w:jc w:val="center"/>
            </w:pPr>
            <w:r>
              <w:t>4.00%</w:t>
            </w:r>
          </w:p>
        </w:tc>
      </w:tr>
      <w:tr w:rsidR="00426235" w14:paraId="0DE2C6AA" w14:textId="77777777" w:rsidTr="008E66D9">
        <w:tc>
          <w:tcPr>
            <w:tcW w:w="0" w:type="auto"/>
          </w:tcPr>
          <w:p w14:paraId="6425ED41" w14:textId="77777777" w:rsidR="00426235" w:rsidRDefault="00000000">
            <w:pPr>
              <w:pStyle w:val="Compact"/>
              <w:jc w:val="center"/>
            </w:pPr>
            <w:r>
              <w:t>BadNets-c[4]</w:t>
            </w:r>
          </w:p>
        </w:tc>
        <w:tc>
          <w:tcPr>
            <w:tcW w:w="0" w:type="auto"/>
          </w:tcPr>
          <w:p w14:paraId="1E0BCB5B" w14:textId="77777777" w:rsidR="00426235" w:rsidRDefault="00000000">
            <w:pPr>
              <w:pStyle w:val="Compact"/>
              <w:jc w:val="center"/>
            </w:pPr>
            <w:r>
              <w:t>0.05%</w:t>
            </w:r>
          </w:p>
        </w:tc>
        <w:tc>
          <w:tcPr>
            <w:tcW w:w="0" w:type="auto"/>
          </w:tcPr>
          <w:p w14:paraId="45851562" w14:textId="77777777" w:rsidR="00426235" w:rsidRDefault="00000000">
            <w:pPr>
              <w:pStyle w:val="Compact"/>
              <w:jc w:val="center"/>
            </w:pPr>
            <w:r>
              <w:t>2.60%</w:t>
            </w:r>
          </w:p>
        </w:tc>
        <w:tc>
          <w:tcPr>
            <w:tcW w:w="0" w:type="auto"/>
          </w:tcPr>
          <w:p w14:paraId="1D923AB4" w14:textId="77777777" w:rsidR="00426235" w:rsidRDefault="00000000">
            <w:pPr>
              <w:pStyle w:val="Compact"/>
              <w:jc w:val="center"/>
            </w:pPr>
            <w:r>
              <w:t>0.23%</w:t>
            </w:r>
          </w:p>
        </w:tc>
      </w:tr>
      <w:tr w:rsidR="00426235" w14:paraId="3EE0DECC" w14:textId="77777777" w:rsidTr="008E66D9">
        <w:tc>
          <w:tcPr>
            <w:tcW w:w="0" w:type="auto"/>
          </w:tcPr>
          <w:p w14:paraId="4FEC0EDF" w14:textId="77777777" w:rsidR="00426235" w:rsidRDefault="00000000">
            <w:pPr>
              <w:pStyle w:val="Compact"/>
              <w:jc w:val="center"/>
            </w:pPr>
            <w:r>
              <w:t>Blend-c[5]</w:t>
            </w:r>
          </w:p>
        </w:tc>
        <w:tc>
          <w:tcPr>
            <w:tcW w:w="0" w:type="auto"/>
          </w:tcPr>
          <w:p w14:paraId="2E0353CF" w14:textId="77777777" w:rsidR="00426235" w:rsidRDefault="00000000">
            <w:pPr>
              <w:pStyle w:val="Compact"/>
              <w:jc w:val="center"/>
            </w:pPr>
            <w:r>
              <w:t>0.05%</w:t>
            </w:r>
          </w:p>
        </w:tc>
        <w:tc>
          <w:tcPr>
            <w:tcW w:w="0" w:type="auto"/>
          </w:tcPr>
          <w:p w14:paraId="50B2FB06" w14:textId="77777777" w:rsidR="00426235" w:rsidRDefault="00000000">
            <w:pPr>
              <w:pStyle w:val="Compact"/>
              <w:jc w:val="center"/>
            </w:pPr>
            <w:r>
              <w:t>1.40%</w:t>
            </w:r>
          </w:p>
        </w:tc>
        <w:tc>
          <w:tcPr>
            <w:tcW w:w="0" w:type="auto"/>
          </w:tcPr>
          <w:p w14:paraId="7D54F250" w14:textId="77777777" w:rsidR="00426235" w:rsidRDefault="00000000">
            <w:pPr>
              <w:pStyle w:val="Compact"/>
              <w:jc w:val="center"/>
            </w:pPr>
            <w:r>
              <w:t>0.52%</w:t>
            </w:r>
          </w:p>
        </w:tc>
      </w:tr>
    </w:tbl>
    <w:p w14:paraId="53D01C23" w14:textId="77777777" w:rsidR="00426235" w:rsidRDefault="00000000">
      <w:pPr>
        <w:pStyle w:val="a0"/>
      </w:pPr>
      <w:r>
        <w:rPr>
          <w:rFonts w:hint="eastAsia"/>
          <w:b/>
          <w:bCs/>
        </w:rPr>
        <w:t>表</w:t>
      </w:r>
      <w:r>
        <w:rPr>
          <w:rFonts w:hint="eastAsia"/>
          <w:b/>
          <w:bCs/>
        </w:rPr>
        <w:t>5</w:t>
      </w:r>
      <w:r>
        <w:rPr>
          <w:rFonts w:hint="eastAsia"/>
          <w:b/>
          <w:bCs/>
        </w:rPr>
        <w:t>：</w:t>
      </w:r>
      <w:r>
        <w:rPr>
          <w:rFonts w:hint="eastAsia"/>
          <w:b/>
          <w:bCs/>
        </w:rPr>
        <w:t>NARCISSUS</w:t>
      </w:r>
      <w:r>
        <w:rPr>
          <w:rFonts w:hint="eastAsia"/>
          <w:b/>
          <w:bCs/>
        </w:rPr>
        <w:t>与基准方法比较</w:t>
      </w:r>
    </w:p>
    <w:p w14:paraId="71D4575C" w14:textId="77777777" w:rsidR="00426235" w:rsidRDefault="00000000" w:rsidP="005844C1">
      <w:pPr>
        <w:pStyle w:val="a0"/>
        <w:ind w:firstLine="480"/>
      </w:pPr>
      <w:r>
        <w:rPr>
          <w:rFonts w:hint="eastAsia"/>
        </w:rPr>
        <w:t>从表中可以清晰看出，</w:t>
      </w:r>
      <w:r>
        <w:rPr>
          <w:rFonts w:hint="eastAsia"/>
        </w:rPr>
        <w:t>NARCISSUS</w:t>
      </w:r>
      <w:r>
        <w:rPr>
          <w:rFonts w:hint="eastAsia"/>
        </w:rPr>
        <w:t>在极低投毒率（</w:t>
      </w:r>
      <w:r>
        <w:rPr>
          <w:rFonts w:hint="eastAsia"/>
        </w:rPr>
        <w:t>0.05%</w:t>
      </w:r>
      <w:r>
        <w:rPr>
          <w:rFonts w:hint="eastAsia"/>
        </w:rPr>
        <w:t>）条件下的攻击成功率是其他清洁标签攻击方法的</w:t>
      </w:r>
      <w:r>
        <w:rPr>
          <w:rFonts w:hint="eastAsia"/>
          <w:b/>
          <w:bCs/>
        </w:rPr>
        <w:t>30</w:t>
      </w:r>
      <w:r>
        <w:rPr>
          <w:rFonts w:hint="eastAsia"/>
          <w:b/>
          <w:bCs/>
        </w:rPr>
        <w:t>倍以上</w:t>
      </w:r>
      <w:r>
        <w:rPr>
          <w:rFonts w:hint="eastAsia"/>
        </w:rPr>
        <w:t>。即使与需要更多攻击信息的脏标签攻击相比，</w:t>
      </w:r>
      <w:r>
        <w:rPr>
          <w:rFonts w:hint="eastAsia"/>
        </w:rPr>
        <w:t>NARCISSUS</w:t>
      </w:r>
      <w:r>
        <w:rPr>
          <w:rFonts w:hint="eastAsia"/>
        </w:rPr>
        <w:t>也毫不逊色。</w:t>
      </w:r>
    </w:p>
    <w:p w14:paraId="7A284CCB" w14:textId="77777777" w:rsidR="00426235" w:rsidRDefault="00000000" w:rsidP="005844C1">
      <w:pPr>
        <w:pStyle w:val="a0"/>
        <w:ind w:firstLine="480"/>
      </w:pPr>
      <w:r>
        <w:rPr>
          <w:rFonts w:hint="eastAsia"/>
        </w:rPr>
        <w:t>特别值得注意的是，在</w:t>
      </w:r>
      <w:r>
        <w:rPr>
          <w:rFonts w:hint="eastAsia"/>
        </w:rPr>
        <w:t>Tiny-ImageNet</w:t>
      </w:r>
      <w:r>
        <w:rPr>
          <w:rFonts w:hint="eastAsia"/>
        </w:rPr>
        <w:t>这样的大规模数据集上，</w:t>
      </w:r>
      <w:r>
        <w:rPr>
          <w:rFonts w:hint="eastAsia"/>
        </w:rPr>
        <w:t>NARCISSUS</w:t>
      </w:r>
      <w:r>
        <w:rPr>
          <w:rFonts w:hint="eastAsia"/>
        </w:rPr>
        <w:t>仍能保持</w:t>
      </w:r>
      <w:r>
        <w:rPr>
          <w:rFonts w:hint="eastAsia"/>
        </w:rPr>
        <w:t>85.81%</w:t>
      </w:r>
      <w:r>
        <w:rPr>
          <w:rFonts w:hint="eastAsia"/>
        </w:rPr>
        <w:t>的攻击成功率，而其他清洁标签攻击方法的成功率仅为</w:t>
      </w:r>
      <w:r>
        <w:rPr>
          <w:rFonts w:hint="eastAsia"/>
        </w:rPr>
        <w:t>1-4%</w:t>
      </w:r>
      <w:r>
        <w:rPr>
          <w:rFonts w:hint="eastAsia"/>
        </w:rPr>
        <w:t>。这充分证明了</w:t>
      </w:r>
      <w:r>
        <w:rPr>
          <w:rFonts w:hint="eastAsia"/>
        </w:rPr>
        <w:t>NARCISSUS</w:t>
      </w:r>
      <w:r>
        <w:rPr>
          <w:rFonts w:hint="eastAsia"/>
        </w:rPr>
        <w:t>触发器优化策略的有效性。</w:t>
      </w:r>
    </w:p>
    <w:p w14:paraId="771708FF" w14:textId="48D38EFD" w:rsidR="00426235" w:rsidRDefault="00000000">
      <w:pPr>
        <w:pStyle w:val="3"/>
      </w:pPr>
      <w:bookmarkStart w:id="23" w:name="防御方法抵抗性分析"/>
      <w:bookmarkEnd w:id="22"/>
      <w:r>
        <w:t>2</w:t>
      </w:r>
      <w:r w:rsidR="00F64166">
        <w:rPr>
          <w:rFonts w:hint="eastAsia"/>
        </w:rPr>
        <w:t>.</w:t>
      </w:r>
      <w:r>
        <w:t xml:space="preserve"> </w:t>
      </w:r>
      <w:r>
        <w:rPr>
          <w:rFonts w:hint="eastAsia"/>
        </w:rPr>
        <w:t>防御方法抵抗性分析</w:t>
      </w:r>
    </w:p>
    <w:p w14:paraId="49C10537" w14:textId="77777777" w:rsidR="00426235" w:rsidRDefault="00000000">
      <w:pPr>
        <w:pStyle w:val="FirstParagraph"/>
      </w:pPr>
      <w:r>
        <w:rPr>
          <w:rFonts w:hint="eastAsia"/>
        </w:rPr>
        <w:t>原始论文对多种防御方法进行了系统评估，结果如下：</w:t>
      </w:r>
    </w:p>
    <w:tbl>
      <w:tblPr>
        <w:tblStyle w:val="Table"/>
        <w:tblW w:w="0" w:type="auto"/>
        <w:tblBorders>
          <w:insideH w:val="single" w:sz="4" w:space="0" w:color="auto"/>
          <w:insideV w:val="single" w:sz="4" w:space="0" w:color="auto"/>
        </w:tblBorders>
        <w:tblLook w:val="0020" w:firstRow="1" w:lastRow="0" w:firstColumn="0" w:lastColumn="0" w:noHBand="0" w:noVBand="0"/>
      </w:tblPr>
      <w:tblGrid>
        <w:gridCol w:w="2221"/>
        <w:gridCol w:w="1176"/>
        <w:gridCol w:w="3816"/>
      </w:tblGrid>
      <w:tr w:rsidR="00426235" w14:paraId="2133953C" w14:textId="77777777" w:rsidTr="00E8718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F1DC16" w14:textId="77777777" w:rsidR="00426235" w:rsidRDefault="00000000">
            <w:pPr>
              <w:pStyle w:val="Compact"/>
              <w:jc w:val="center"/>
            </w:pPr>
            <w:r>
              <w:rPr>
                <w:rFonts w:hint="eastAsia"/>
              </w:rPr>
              <w:lastRenderedPageBreak/>
              <w:t>防御方法</w:t>
            </w:r>
          </w:p>
        </w:tc>
        <w:tc>
          <w:tcPr>
            <w:tcW w:w="0" w:type="auto"/>
            <w:tcBorders>
              <w:bottom w:val="none" w:sz="0" w:space="0" w:color="auto"/>
            </w:tcBorders>
          </w:tcPr>
          <w:p w14:paraId="3594E7F2" w14:textId="77777777" w:rsidR="00426235" w:rsidRDefault="00000000">
            <w:pPr>
              <w:pStyle w:val="Compact"/>
              <w:jc w:val="center"/>
            </w:pPr>
            <w:r>
              <w:rPr>
                <w:rFonts w:hint="eastAsia"/>
              </w:rPr>
              <w:t>防御效果</w:t>
            </w:r>
          </w:p>
        </w:tc>
        <w:tc>
          <w:tcPr>
            <w:tcW w:w="0" w:type="auto"/>
            <w:tcBorders>
              <w:bottom w:val="none" w:sz="0" w:space="0" w:color="auto"/>
            </w:tcBorders>
          </w:tcPr>
          <w:p w14:paraId="2C931258" w14:textId="77777777" w:rsidR="00426235" w:rsidRDefault="00000000">
            <w:pPr>
              <w:pStyle w:val="Compact"/>
              <w:jc w:val="center"/>
            </w:pPr>
            <w:r>
              <w:rPr>
                <w:rFonts w:hint="eastAsia"/>
              </w:rPr>
              <w:t>评价</w:t>
            </w:r>
          </w:p>
        </w:tc>
      </w:tr>
      <w:tr w:rsidR="00426235" w14:paraId="43383FC8" w14:textId="77777777" w:rsidTr="00E87188">
        <w:tc>
          <w:tcPr>
            <w:tcW w:w="0" w:type="auto"/>
          </w:tcPr>
          <w:p w14:paraId="52F0DB6A" w14:textId="77777777" w:rsidR="00426235" w:rsidRDefault="00000000">
            <w:pPr>
              <w:pStyle w:val="Compact"/>
              <w:jc w:val="center"/>
            </w:pPr>
            <w:r>
              <w:t>Neural Cleanse[11]</w:t>
            </w:r>
          </w:p>
        </w:tc>
        <w:tc>
          <w:tcPr>
            <w:tcW w:w="0" w:type="auto"/>
          </w:tcPr>
          <w:p w14:paraId="7D1E4952" w14:textId="77777777" w:rsidR="00426235" w:rsidRDefault="00000000">
            <w:pPr>
              <w:pStyle w:val="Compact"/>
              <w:jc w:val="center"/>
            </w:pPr>
            <w:r>
              <w:rPr>
                <w:rFonts w:hint="eastAsia"/>
              </w:rPr>
              <w:t>失败</w:t>
            </w:r>
          </w:p>
        </w:tc>
        <w:tc>
          <w:tcPr>
            <w:tcW w:w="0" w:type="auto"/>
          </w:tcPr>
          <w:p w14:paraId="0DEFCA80" w14:textId="77777777" w:rsidR="00426235" w:rsidRDefault="00000000">
            <w:pPr>
              <w:pStyle w:val="Compact"/>
              <w:jc w:val="center"/>
            </w:pPr>
            <w:r>
              <w:rPr>
                <w:rFonts w:hint="eastAsia"/>
              </w:rPr>
              <w:t>触发器为全局模式，难以检测</w:t>
            </w:r>
          </w:p>
        </w:tc>
      </w:tr>
      <w:tr w:rsidR="00426235" w14:paraId="1DAE4723" w14:textId="77777777" w:rsidTr="00E87188">
        <w:tc>
          <w:tcPr>
            <w:tcW w:w="0" w:type="auto"/>
          </w:tcPr>
          <w:p w14:paraId="5FF3A6BC" w14:textId="77777777" w:rsidR="00426235" w:rsidRDefault="00000000">
            <w:pPr>
              <w:pStyle w:val="Compact"/>
              <w:jc w:val="center"/>
            </w:pPr>
            <w:r>
              <w:t>Fine-Pruning[12]</w:t>
            </w:r>
          </w:p>
        </w:tc>
        <w:tc>
          <w:tcPr>
            <w:tcW w:w="0" w:type="auto"/>
          </w:tcPr>
          <w:p w14:paraId="2150544A" w14:textId="77777777" w:rsidR="00426235" w:rsidRDefault="00000000">
            <w:pPr>
              <w:pStyle w:val="Compact"/>
              <w:jc w:val="center"/>
            </w:pPr>
            <w:r>
              <w:rPr>
                <w:rFonts w:hint="eastAsia"/>
              </w:rPr>
              <w:t>有限</w:t>
            </w:r>
          </w:p>
        </w:tc>
        <w:tc>
          <w:tcPr>
            <w:tcW w:w="0" w:type="auto"/>
          </w:tcPr>
          <w:p w14:paraId="21BE5421" w14:textId="77777777" w:rsidR="00426235" w:rsidRDefault="00000000">
            <w:pPr>
              <w:pStyle w:val="Compact"/>
              <w:jc w:val="center"/>
            </w:pPr>
            <w:r>
              <w:rPr>
                <w:rFonts w:hint="eastAsia"/>
              </w:rPr>
              <w:t>触发器激活与目标类相似的神经元</w:t>
            </w:r>
          </w:p>
        </w:tc>
      </w:tr>
      <w:tr w:rsidR="00426235" w14:paraId="41602FF9" w14:textId="77777777" w:rsidTr="00E87188">
        <w:tc>
          <w:tcPr>
            <w:tcW w:w="0" w:type="auto"/>
          </w:tcPr>
          <w:p w14:paraId="41EBD8B1" w14:textId="77777777" w:rsidR="00426235" w:rsidRDefault="00000000">
            <w:pPr>
              <w:pStyle w:val="Compact"/>
              <w:jc w:val="center"/>
            </w:pPr>
            <w:r>
              <w:t>I-BAU[13]</w:t>
            </w:r>
          </w:p>
        </w:tc>
        <w:tc>
          <w:tcPr>
            <w:tcW w:w="0" w:type="auto"/>
          </w:tcPr>
          <w:p w14:paraId="0FE4C303" w14:textId="77777777" w:rsidR="00426235" w:rsidRDefault="00000000">
            <w:pPr>
              <w:pStyle w:val="Compact"/>
              <w:jc w:val="center"/>
            </w:pPr>
            <w:r>
              <w:rPr>
                <w:rFonts w:hint="eastAsia"/>
              </w:rPr>
              <w:t>不稳定</w:t>
            </w:r>
          </w:p>
        </w:tc>
        <w:tc>
          <w:tcPr>
            <w:tcW w:w="0" w:type="auto"/>
          </w:tcPr>
          <w:p w14:paraId="561A1338" w14:textId="77777777" w:rsidR="00426235" w:rsidRDefault="00000000">
            <w:pPr>
              <w:pStyle w:val="Compact"/>
              <w:jc w:val="center"/>
            </w:pPr>
            <w:r>
              <w:rPr>
                <w:rFonts w:hint="eastAsia"/>
              </w:rPr>
              <w:t>防御过程中触发器与语义特征混淆</w:t>
            </w:r>
          </w:p>
        </w:tc>
      </w:tr>
      <w:tr w:rsidR="00426235" w14:paraId="0EA1B835" w14:textId="77777777" w:rsidTr="00E87188">
        <w:tc>
          <w:tcPr>
            <w:tcW w:w="0" w:type="auto"/>
          </w:tcPr>
          <w:p w14:paraId="221D3B20" w14:textId="77777777" w:rsidR="00426235" w:rsidRDefault="00000000">
            <w:pPr>
              <w:pStyle w:val="Compact"/>
              <w:jc w:val="center"/>
            </w:pPr>
            <w:r>
              <w:rPr>
                <w:rFonts w:hint="eastAsia"/>
              </w:rPr>
              <w:t>频率检测</w:t>
            </w:r>
            <w:r>
              <w:rPr>
                <w:rFonts w:hint="eastAsia"/>
              </w:rPr>
              <w:t>[15]</w:t>
            </w:r>
          </w:p>
        </w:tc>
        <w:tc>
          <w:tcPr>
            <w:tcW w:w="0" w:type="auto"/>
          </w:tcPr>
          <w:p w14:paraId="56720208" w14:textId="77777777" w:rsidR="00426235" w:rsidRDefault="00000000">
            <w:pPr>
              <w:pStyle w:val="Compact"/>
              <w:jc w:val="center"/>
            </w:pPr>
            <w:r>
              <w:rPr>
                <w:rFonts w:hint="eastAsia"/>
              </w:rPr>
              <w:t>可绕过</w:t>
            </w:r>
          </w:p>
        </w:tc>
        <w:tc>
          <w:tcPr>
            <w:tcW w:w="0" w:type="auto"/>
          </w:tcPr>
          <w:p w14:paraId="6EC4CAB7" w14:textId="77777777" w:rsidR="00426235" w:rsidRDefault="00000000">
            <w:pPr>
              <w:pStyle w:val="Compact"/>
              <w:jc w:val="center"/>
            </w:pPr>
            <w:r>
              <w:rPr>
                <w:rFonts w:hint="eastAsia"/>
              </w:rPr>
              <w:t>自适应低频触发器可绕过</w:t>
            </w:r>
          </w:p>
        </w:tc>
      </w:tr>
      <w:tr w:rsidR="00426235" w14:paraId="00CC21D2" w14:textId="77777777" w:rsidTr="00E87188">
        <w:tc>
          <w:tcPr>
            <w:tcW w:w="0" w:type="auto"/>
          </w:tcPr>
          <w:p w14:paraId="6D24881E" w14:textId="77777777" w:rsidR="00426235" w:rsidRDefault="00000000">
            <w:pPr>
              <w:pStyle w:val="Compact"/>
              <w:jc w:val="center"/>
            </w:pPr>
            <w:r>
              <w:t>ABL[14]</w:t>
            </w:r>
          </w:p>
        </w:tc>
        <w:tc>
          <w:tcPr>
            <w:tcW w:w="0" w:type="auto"/>
          </w:tcPr>
          <w:p w14:paraId="2D86CFF3" w14:textId="77777777" w:rsidR="00426235" w:rsidRDefault="00000000">
            <w:pPr>
              <w:pStyle w:val="Compact"/>
              <w:jc w:val="center"/>
            </w:pPr>
            <w:r>
              <w:rPr>
                <w:rFonts w:hint="eastAsia"/>
              </w:rPr>
              <w:t>失败</w:t>
            </w:r>
          </w:p>
        </w:tc>
        <w:tc>
          <w:tcPr>
            <w:tcW w:w="0" w:type="auto"/>
          </w:tcPr>
          <w:p w14:paraId="27E46A3B" w14:textId="77777777" w:rsidR="00426235" w:rsidRDefault="00000000">
            <w:pPr>
              <w:pStyle w:val="Compact"/>
              <w:jc w:val="center"/>
            </w:pPr>
            <w:r>
              <w:rPr>
                <w:rFonts w:hint="eastAsia"/>
              </w:rPr>
              <w:t>极低投毒率下损失值差异不明显</w:t>
            </w:r>
          </w:p>
        </w:tc>
      </w:tr>
    </w:tbl>
    <w:p w14:paraId="323A143C" w14:textId="77777777" w:rsidR="00426235" w:rsidRDefault="00000000" w:rsidP="005844C1">
      <w:pPr>
        <w:pStyle w:val="a0"/>
        <w:ind w:firstLine="480"/>
      </w:pPr>
      <w:r>
        <w:rPr>
          <w:rFonts w:hint="eastAsia"/>
          <w:b/>
          <w:bCs/>
        </w:rPr>
        <w:t>表</w:t>
      </w:r>
      <w:r>
        <w:rPr>
          <w:rFonts w:hint="eastAsia"/>
          <w:b/>
          <w:bCs/>
        </w:rPr>
        <w:t>6</w:t>
      </w:r>
      <w:r>
        <w:rPr>
          <w:rFonts w:hint="eastAsia"/>
          <w:b/>
          <w:bCs/>
        </w:rPr>
        <w:t>：防御方法抵抗性分析</w:t>
      </w:r>
    </w:p>
    <w:p w14:paraId="79271C4F" w14:textId="77777777" w:rsidR="00426235" w:rsidRDefault="00000000" w:rsidP="005844C1">
      <w:pPr>
        <w:pStyle w:val="a0"/>
        <w:ind w:firstLine="480"/>
      </w:pPr>
      <w:r>
        <w:rPr>
          <w:rFonts w:hint="eastAsia"/>
        </w:rPr>
        <w:t>NARCISSUS</w:t>
      </w:r>
      <w:r>
        <w:rPr>
          <w:rFonts w:hint="eastAsia"/>
        </w:rPr>
        <w:t>对各种防御方法的强抵抗性源于其独特的触发器设计理念。由于触发器被优化为包含目标类的核心语义特征，任何试图移除这些特征的操作都会同时损害模型对目标类的识别能力，从而导致模型准确率显著下降。这种“特性持久性”是</w:t>
      </w:r>
      <w:r>
        <w:rPr>
          <w:rFonts w:hint="eastAsia"/>
        </w:rPr>
        <w:t>NARCISSUS</w:t>
      </w:r>
      <w:r>
        <w:rPr>
          <w:rFonts w:hint="eastAsia"/>
        </w:rPr>
        <w:t>难以被防御的根本原因。</w:t>
      </w:r>
    </w:p>
    <w:p w14:paraId="6C75F839" w14:textId="71452301" w:rsidR="00426235" w:rsidRDefault="00000000">
      <w:pPr>
        <w:pStyle w:val="3"/>
      </w:pPr>
      <w:bookmarkStart w:id="24" w:name="关键发现总结"/>
      <w:bookmarkEnd w:id="23"/>
      <w:r>
        <w:t>3</w:t>
      </w:r>
      <w:r w:rsidR="00694647">
        <w:rPr>
          <w:rFonts w:hint="eastAsia"/>
        </w:rPr>
        <w:t>.</w:t>
      </w:r>
      <w:r>
        <w:t xml:space="preserve"> </w:t>
      </w:r>
      <w:r>
        <w:rPr>
          <w:rFonts w:hint="eastAsia"/>
        </w:rPr>
        <w:t>关键发现总结</w:t>
      </w:r>
    </w:p>
    <w:p w14:paraId="04C08C23" w14:textId="77777777" w:rsidR="00426235" w:rsidRDefault="00000000">
      <w:pPr>
        <w:pStyle w:val="FirstParagraph"/>
      </w:pPr>
      <w:r>
        <w:rPr>
          <w:rFonts w:hint="eastAsia"/>
        </w:rPr>
        <w:t>基于上述分析，我们总结出以下关键发现：</w:t>
      </w:r>
    </w:p>
    <w:p w14:paraId="69CCBDB4" w14:textId="77777777" w:rsidR="00426235" w:rsidRDefault="00000000">
      <w:pPr>
        <w:pStyle w:val="a0"/>
      </w:pPr>
      <w:r>
        <w:rPr>
          <w:rFonts w:hint="eastAsia"/>
          <w:b/>
          <w:bCs/>
        </w:rPr>
        <w:t>发现</w:t>
      </w:r>
      <w:r>
        <w:rPr>
          <w:rFonts w:hint="eastAsia"/>
          <w:b/>
          <w:bCs/>
        </w:rPr>
        <w:t>1</w:t>
      </w:r>
      <w:r>
        <w:rPr>
          <w:rFonts w:hint="eastAsia"/>
          <w:b/>
          <w:bCs/>
        </w:rPr>
        <w:t>：</w:t>
      </w:r>
      <w:r>
        <w:rPr>
          <w:rFonts w:hint="eastAsia"/>
          <w:b/>
          <w:bCs/>
        </w:rPr>
        <w:t>NARCISSUS</w:t>
      </w:r>
      <w:r>
        <w:rPr>
          <w:rFonts w:hint="eastAsia"/>
          <w:b/>
          <w:bCs/>
        </w:rPr>
        <w:t>触发器具有卓越的跨架构转移性</w:t>
      </w:r>
    </w:p>
    <w:p w14:paraId="6E969BEC" w14:textId="77777777" w:rsidR="00426235" w:rsidRDefault="00000000" w:rsidP="005844C1">
      <w:pPr>
        <w:pStyle w:val="a0"/>
        <w:ind w:firstLine="480"/>
      </w:pPr>
      <w:r>
        <w:rPr>
          <w:rFonts w:hint="eastAsia"/>
        </w:rPr>
        <w:t>在</w:t>
      </w:r>
      <w:r>
        <w:rPr>
          <w:rFonts w:hint="eastAsia"/>
        </w:rPr>
        <w:t>CIFAR-10</w:t>
      </w:r>
      <w:r>
        <w:rPr>
          <w:rFonts w:hint="eastAsia"/>
        </w:rPr>
        <w:t>数据集上，不同架构间的平均转移成功率达到</w:t>
      </w:r>
      <w:r>
        <w:rPr>
          <w:rFonts w:hint="eastAsia"/>
        </w:rPr>
        <w:t>96.84%</w:t>
      </w:r>
      <w:r>
        <w:rPr>
          <w:rFonts w:hint="eastAsia"/>
        </w:rPr>
        <w:t>，甚至高于同架构攻击（</w:t>
      </w:r>
      <w:r>
        <w:rPr>
          <w:rFonts w:hint="eastAsia"/>
        </w:rPr>
        <w:t>97.36%</w:t>
      </w:r>
      <w:r>
        <w:rPr>
          <w:rFonts w:hint="eastAsia"/>
        </w:rPr>
        <w:t>）。这意味着攻击者使用一种模型架构生成的触发器，可以有效攻击使用不同架构的受害者模型。</w:t>
      </w:r>
    </w:p>
    <w:p w14:paraId="22E89E67" w14:textId="77777777" w:rsidR="00426235" w:rsidRDefault="00000000">
      <w:pPr>
        <w:pStyle w:val="a0"/>
      </w:pPr>
      <w:r>
        <w:rPr>
          <w:rFonts w:hint="eastAsia"/>
          <w:b/>
          <w:bCs/>
        </w:rPr>
        <w:t>发现</w:t>
      </w:r>
      <w:r>
        <w:rPr>
          <w:rFonts w:hint="eastAsia"/>
          <w:b/>
          <w:bCs/>
        </w:rPr>
        <w:t>2</w:t>
      </w:r>
      <w:r>
        <w:rPr>
          <w:rFonts w:hint="eastAsia"/>
          <w:b/>
          <w:bCs/>
        </w:rPr>
        <w:t>：转移性呈现高度对称性</w:t>
      </w:r>
    </w:p>
    <w:p w14:paraId="51119E06" w14:textId="77777777" w:rsidR="00426235" w:rsidRDefault="00000000" w:rsidP="005844C1">
      <w:pPr>
        <w:pStyle w:val="a0"/>
        <w:ind w:firstLine="480"/>
      </w:pPr>
      <w:r>
        <w:rPr>
          <w:rFonts w:hint="eastAsia"/>
        </w:rPr>
        <w:t>实验数据表明，</w:t>
      </w:r>
      <m:oMath>
        <m:r>
          <w:rPr>
            <w:rFonts w:ascii="Cambria Math" w:hAnsi="Cambria Math"/>
          </w:rPr>
          <m:t>A</m:t>
        </m:r>
        <m:r>
          <m:rPr>
            <m:sty m:val="p"/>
          </m:rPr>
          <w:rPr>
            <w:rFonts w:ascii="Cambria Math" w:hAnsi="Cambria Math"/>
          </w:rPr>
          <m:t>→</m:t>
        </m:r>
        <m:r>
          <w:rPr>
            <w:rFonts w:ascii="Cambria Math" w:hAnsi="Cambria Math"/>
          </w:rPr>
          <m:t>B</m:t>
        </m:r>
      </m:oMath>
      <w:r>
        <w:rPr>
          <w:rFonts w:hint="eastAsia"/>
        </w:rPr>
        <w:t>与</w:t>
      </w:r>
      <m:oMath>
        <m:r>
          <w:rPr>
            <w:rFonts w:ascii="Cambria Math" w:hAnsi="Cambria Math"/>
          </w:rPr>
          <m:t>B</m:t>
        </m:r>
        <m:r>
          <m:rPr>
            <m:sty m:val="p"/>
          </m:rPr>
          <w:rPr>
            <w:rFonts w:ascii="Cambria Math" w:hAnsi="Cambria Math"/>
          </w:rPr>
          <m:t>→</m:t>
        </m:r>
        <m:r>
          <w:rPr>
            <w:rFonts w:ascii="Cambria Math" w:hAnsi="Cambria Math"/>
          </w:rPr>
          <m:t>A</m:t>
        </m:r>
      </m:oMath>
      <w:r>
        <w:rPr>
          <w:rFonts w:hint="eastAsia"/>
        </w:rPr>
        <w:t>的转移成功率几乎完全相同，差异在</w:t>
      </w:r>
      <w:r>
        <w:rPr>
          <w:rFonts w:hint="eastAsia"/>
        </w:rPr>
        <w:t>0.05%</w:t>
      </w:r>
      <w:r>
        <w:rPr>
          <w:rFonts w:hint="eastAsia"/>
        </w:rPr>
        <w:t>以内。这一发现为攻击策略设计提供了重要参考。</w:t>
      </w:r>
    </w:p>
    <w:p w14:paraId="2BE82665" w14:textId="77777777" w:rsidR="00426235" w:rsidRDefault="00000000">
      <w:pPr>
        <w:pStyle w:val="a0"/>
      </w:pPr>
      <w:r>
        <w:rPr>
          <w:rFonts w:hint="eastAsia"/>
          <w:b/>
          <w:bCs/>
        </w:rPr>
        <w:t>发现</w:t>
      </w:r>
      <w:r>
        <w:rPr>
          <w:rFonts w:hint="eastAsia"/>
          <w:b/>
          <w:bCs/>
        </w:rPr>
        <w:t>3</w:t>
      </w:r>
      <w:r>
        <w:rPr>
          <w:rFonts w:hint="eastAsia"/>
          <w:b/>
          <w:bCs/>
        </w:rPr>
        <w:t>：</w:t>
      </w:r>
      <w:r>
        <w:rPr>
          <w:rFonts w:hint="eastAsia"/>
          <w:b/>
          <w:bCs/>
        </w:rPr>
        <w:t>GoogLeNet</w:t>
      </w:r>
      <w:r>
        <w:rPr>
          <w:rFonts w:hint="eastAsia"/>
          <w:b/>
          <w:bCs/>
        </w:rPr>
        <w:t>是最佳的替代模型选择</w:t>
      </w:r>
    </w:p>
    <w:p w14:paraId="0415BED8" w14:textId="77777777" w:rsidR="00426235" w:rsidRDefault="00000000" w:rsidP="005844C1">
      <w:pPr>
        <w:pStyle w:val="a0"/>
        <w:ind w:firstLine="480"/>
      </w:pPr>
      <w:r>
        <w:rPr>
          <w:rFonts w:hint="eastAsia"/>
        </w:rPr>
        <w:t>无论作为替代模型还是目标模型，</w:t>
      </w:r>
      <w:r>
        <w:rPr>
          <w:rFonts w:hint="eastAsia"/>
        </w:rPr>
        <w:t>GoogLeNet</w:t>
      </w:r>
      <w:r>
        <w:rPr>
          <w:rFonts w:hint="eastAsia"/>
        </w:rPr>
        <w:t>都表现出色。这可能与其</w:t>
      </w:r>
      <w:r>
        <w:rPr>
          <w:rFonts w:hint="eastAsia"/>
        </w:rPr>
        <w:t>Inception</w:t>
      </w:r>
      <w:r>
        <w:rPr>
          <w:rFonts w:hint="eastAsia"/>
        </w:rPr>
        <w:t>架构的多尺度特征提取能力有关。使用</w:t>
      </w:r>
      <w:r>
        <w:rPr>
          <w:rFonts w:hint="eastAsia"/>
        </w:rPr>
        <w:t>GoogLeNet</w:t>
      </w:r>
      <w:r>
        <w:rPr>
          <w:rFonts w:hint="eastAsia"/>
        </w:rPr>
        <w:t>作为替代模型时，平均转移成功率达到</w:t>
      </w:r>
      <w:r>
        <w:rPr>
          <w:rFonts w:hint="eastAsia"/>
        </w:rPr>
        <w:t>99.83%</w:t>
      </w:r>
      <w:r>
        <w:rPr>
          <w:rFonts w:hint="eastAsia"/>
        </w:rPr>
        <w:t>。</w:t>
      </w:r>
    </w:p>
    <w:p w14:paraId="51472941" w14:textId="77777777" w:rsidR="00426235" w:rsidRDefault="00000000">
      <w:pPr>
        <w:pStyle w:val="a0"/>
      </w:pPr>
      <w:r>
        <w:rPr>
          <w:rFonts w:hint="eastAsia"/>
          <w:b/>
          <w:bCs/>
        </w:rPr>
        <w:t>发现</w:t>
      </w:r>
      <w:r>
        <w:rPr>
          <w:rFonts w:hint="eastAsia"/>
          <w:b/>
          <w:bCs/>
        </w:rPr>
        <w:t>4</w:t>
      </w:r>
      <w:r>
        <w:rPr>
          <w:rFonts w:hint="eastAsia"/>
          <w:b/>
          <w:bCs/>
        </w:rPr>
        <w:t>：触发器的转移性主要取决于目标类特征的通用性</w:t>
      </w:r>
    </w:p>
    <w:p w14:paraId="3C6B90A0" w14:textId="2D558B87" w:rsidR="00426235" w:rsidRDefault="00000000" w:rsidP="005844C1">
      <w:pPr>
        <w:pStyle w:val="a0"/>
        <w:ind w:firstLine="480"/>
      </w:pPr>
      <w:r>
        <w:rPr>
          <w:rFonts w:hint="eastAsia"/>
        </w:rPr>
        <w:t>模型架构的相似性对转移性的影响有限。转移性的高低主要取决于目标类特征在不同模型间的通用程度。这一发现解释了为什么优化“指向目标类内部”的触发器能够获得出色的转移性。</w:t>
      </w:r>
    </w:p>
    <w:p w14:paraId="0598222B" w14:textId="77777777" w:rsidR="00426235" w:rsidRDefault="00000000">
      <w:pPr>
        <w:pStyle w:val="2"/>
      </w:pPr>
      <w:bookmarkStart w:id="25" w:name="六对后门防御的启示"/>
      <w:bookmarkEnd w:id="21"/>
      <w:bookmarkEnd w:id="24"/>
      <w:r>
        <w:rPr>
          <w:rFonts w:hint="eastAsia"/>
        </w:rPr>
        <w:lastRenderedPageBreak/>
        <w:t>六、对后门防御的启示</w:t>
      </w:r>
    </w:p>
    <w:p w14:paraId="38638F82" w14:textId="5D088810" w:rsidR="00426235" w:rsidRDefault="00000000">
      <w:pPr>
        <w:pStyle w:val="3"/>
      </w:pPr>
      <w:bookmarkStart w:id="26" w:name="当前防御策略的局限性"/>
      <w:r>
        <w:t>1</w:t>
      </w:r>
      <w:r w:rsidR="00472807">
        <w:rPr>
          <w:rFonts w:hint="eastAsia"/>
        </w:rPr>
        <w:t>.</w:t>
      </w:r>
      <w:r>
        <w:t xml:space="preserve"> </w:t>
      </w:r>
      <w:r>
        <w:rPr>
          <w:rFonts w:hint="eastAsia"/>
        </w:rPr>
        <w:t>当前防御策略的局限性</w:t>
      </w:r>
    </w:p>
    <w:p w14:paraId="5E85376E" w14:textId="77777777" w:rsidR="00426235" w:rsidRDefault="00000000">
      <w:pPr>
        <w:pStyle w:val="FirstParagraph"/>
      </w:pPr>
      <w:r>
        <w:rPr>
          <w:rFonts w:hint="eastAsia"/>
        </w:rPr>
        <w:t>基于我们的分析，当前后门防御策略面临以下挑战：</w:t>
      </w:r>
    </w:p>
    <w:p w14:paraId="37AC628F" w14:textId="77777777" w:rsidR="00426235" w:rsidRDefault="00000000" w:rsidP="00E50B8C">
      <w:pPr>
        <w:pStyle w:val="a0"/>
        <w:ind w:firstLine="480"/>
      </w:pPr>
      <w:r>
        <w:rPr>
          <w:rFonts w:hint="eastAsia"/>
          <w:b/>
          <w:bCs/>
        </w:rPr>
        <w:t>基于触发器检测的防御难以奏效</w:t>
      </w:r>
      <w:r>
        <w:rPr>
          <w:rFonts w:hint="eastAsia"/>
        </w:rPr>
        <w:t>：由于</w:t>
      </w:r>
      <w:r>
        <w:rPr>
          <w:rFonts w:hint="eastAsia"/>
        </w:rPr>
        <w:t>NARCISSUS</w:t>
      </w:r>
      <w:r>
        <w:rPr>
          <w:rFonts w:hint="eastAsia"/>
        </w:rPr>
        <w:t>触发器具有出色的跨架构转移性，攻击者可以使用任何模型生成触发器，而不必担心目标模型的架构差异。这使得基于特定触发器模式的检测方法更加困难。</w:t>
      </w:r>
    </w:p>
    <w:p w14:paraId="6B4DDB7E" w14:textId="77777777" w:rsidR="00426235" w:rsidRDefault="00000000" w:rsidP="00E50B8C">
      <w:pPr>
        <w:pStyle w:val="a0"/>
        <w:ind w:firstLine="480"/>
      </w:pPr>
      <w:r>
        <w:rPr>
          <w:rFonts w:hint="eastAsia"/>
          <w:b/>
          <w:bCs/>
        </w:rPr>
        <w:t>基于模型重构的防御效果有限</w:t>
      </w:r>
      <w:r>
        <w:rPr>
          <w:rFonts w:hint="eastAsia"/>
        </w:rPr>
        <w:t>：</w:t>
      </w:r>
      <w:r>
        <w:rPr>
          <w:rFonts w:hint="eastAsia"/>
        </w:rPr>
        <w:t>Neural</w:t>
      </w:r>
      <w:r>
        <w:t xml:space="preserve"> </w:t>
      </w:r>
      <w:r>
        <w:rPr>
          <w:rFonts w:hint="eastAsia"/>
        </w:rPr>
        <w:t>Cleanse</w:t>
      </w:r>
      <w:r>
        <w:rPr>
          <w:rFonts w:hint="eastAsia"/>
        </w:rPr>
        <w:t>等基于逆向工程触发器的防御方法假设触发器是局部模式，但</w:t>
      </w:r>
      <w:r>
        <w:rPr>
          <w:rFonts w:hint="eastAsia"/>
        </w:rPr>
        <w:t>NARCISSUS</w:t>
      </w:r>
      <w:r>
        <w:rPr>
          <w:rFonts w:hint="eastAsia"/>
        </w:rPr>
        <w:t>触发器是全局的、指向目标类内部的模式，这使得逆向工程变得困难。</w:t>
      </w:r>
    </w:p>
    <w:p w14:paraId="24EA5EEC" w14:textId="77777777" w:rsidR="00426235" w:rsidRDefault="00000000" w:rsidP="00E50B8C">
      <w:pPr>
        <w:pStyle w:val="a0"/>
        <w:ind w:firstLine="480"/>
      </w:pPr>
      <w:r>
        <w:rPr>
          <w:rFonts w:hint="eastAsia"/>
          <w:b/>
          <w:bCs/>
        </w:rPr>
        <w:t>基于数据过滤的防御难以检测低投毒率</w:t>
      </w:r>
      <w:r>
        <w:rPr>
          <w:rFonts w:hint="eastAsia"/>
        </w:rPr>
        <w:t>：</w:t>
      </w:r>
      <w:r>
        <w:rPr>
          <w:rFonts w:hint="eastAsia"/>
        </w:rPr>
        <w:t>NARCISSUS</w:t>
      </w:r>
      <w:r>
        <w:rPr>
          <w:rFonts w:hint="eastAsia"/>
        </w:rPr>
        <w:t>仅需要</w:t>
      </w:r>
      <w:r>
        <w:rPr>
          <w:rFonts w:hint="eastAsia"/>
        </w:rPr>
        <w:t>0.05%</w:t>
      </w:r>
      <w:r>
        <w:rPr>
          <w:rFonts w:hint="eastAsia"/>
        </w:rPr>
        <w:t>的投毒率即可实现高效攻击，这使得基于损失值分析等方法难以有效区分投毒样本和正常样本。</w:t>
      </w:r>
    </w:p>
    <w:p w14:paraId="4E4837CF" w14:textId="13ED1E35" w:rsidR="00426235" w:rsidRDefault="00000000">
      <w:pPr>
        <w:pStyle w:val="3"/>
      </w:pPr>
      <w:bookmarkStart w:id="27" w:name="未来防御研究方向"/>
      <w:bookmarkEnd w:id="26"/>
      <w:r>
        <w:t>2</w:t>
      </w:r>
      <w:r w:rsidR="00286A74">
        <w:rPr>
          <w:rFonts w:hint="eastAsia"/>
        </w:rPr>
        <w:t>.</w:t>
      </w:r>
      <w:r>
        <w:t xml:space="preserve"> </w:t>
      </w:r>
      <w:r>
        <w:rPr>
          <w:rFonts w:hint="eastAsia"/>
        </w:rPr>
        <w:t>未来防御研究方向</w:t>
      </w:r>
    </w:p>
    <w:p w14:paraId="4391E341" w14:textId="77777777" w:rsidR="00426235" w:rsidRDefault="00000000" w:rsidP="00E50B8C">
      <w:pPr>
        <w:pStyle w:val="FirstParagraph"/>
        <w:ind w:firstLine="480"/>
      </w:pPr>
      <w:r>
        <w:rPr>
          <w:rFonts w:hint="eastAsia"/>
        </w:rPr>
        <w:t>针对</w:t>
      </w:r>
      <w:r>
        <w:rPr>
          <w:rFonts w:hint="eastAsia"/>
        </w:rPr>
        <w:t>NARCISSUS</w:t>
      </w:r>
      <w:r>
        <w:rPr>
          <w:rFonts w:hint="eastAsia"/>
        </w:rPr>
        <w:t>的特性，我们提出以下防御研究方向：</w:t>
      </w:r>
    </w:p>
    <w:p w14:paraId="4EC81366" w14:textId="77777777" w:rsidR="00426235" w:rsidRDefault="00000000" w:rsidP="00E50B8C">
      <w:pPr>
        <w:pStyle w:val="a0"/>
        <w:ind w:firstLine="480"/>
      </w:pPr>
      <w:r>
        <w:rPr>
          <w:rFonts w:hint="eastAsia"/>
          <w:b/>
          <w:bCs/>
        </w:rPr>
        <w:t>研究目标类特征的鲁棒表示</w:t>
      </w:r>
      <w:r>
        <w:rPr>
          <w:rFonts w:hint="eastAsia"/>
        </w:rPr>
        <w:t>：由于</w:t>
      </w:r>
      <w:r>
        <w:rPr>
          <w:rFonts w:hint="eastAsia"/>
        </w:rPr>
        <w:t>NARCISSUS</w:t>
      </w:r>
      <w:r>
        <w:rPr>
          <w:rFonts w:hint="eastAsia"/>
        </w:rPr>
        <w:t>利用目标类特征的持久性，未来防御可以从研究如何在训练过程中区分“良性目标类特征”和“触发器注入的特征”入手。</w:t>
      </w:r>
    </w:p>
    <w:p w14:paraId="6C9D0146" w14:textId="77777777" w:rsidR="00426235" w:rsidRDefault="00000000" w:rsidP="00E50B8C">
      <w:pPr>
        <w:pStyle w:val="a0"/>
        <w:ind w:firstLine="480"/>
      </w:pPr>
      <w:r>
        <w:rPr>
          <w:rFonts w:hint="eastAsia"/>
          <w:b/>
          <w:bCs/>
        </w:rPr>
        <w:t>开发架构无关的检测方法</w:t>
      </w:r>
      <w:r>
        <w:rPr>
          <w:rFonts w:hint="eastAsia"/>
        </w:rPr>
        <w:t>：未来的防御方法应更多地关注输入样本的语义一致性，而非依赖特定的模型架构或触发器模式。</w:t>
      </w:r>
    </w:p>
    <w:p w14:paraId="5EA8D152" w14:textId="227C2068" w:rsidR="00426235" w:rsidRDefault="00000000" w:rsidP="00E50B8C">
      <w:pPr>
        <w:pStyle w:val="a0"/>
        <w:ind w:firstLine="480"/>
      </w:pPr>
      <w:r>
        <w:rPr>
          <w:rFonts w:hint="eastAsia"/>
          <w:b/>
          <w:bCs/>
        </w:rPr>
        <w:t>探索训练阶段的主动防御</w:t>
      </w:r>
      <w:r>
        <w:rPr>
          <w:rFonts w:hint="eastAsia"/>
        </w:rPr>
        <w:t>：在训练过程中引入对抗性训练策略，使模型对后门攻击更加鲁棒，可能是更加有效的防御方向。</w:t>
      </w:r>
    </w:p>
    <w:p w14:paraId="0D732DA1" w14:textId="77777777" w:rsidR="00426235" w:rsidRDefault="00000000">
      <w:pPr>
        <w:pStyle w:val="2"/>
      </w:pPr>
      <w:bookmarkStart w:id="28" w:name="七结论"/>
      <w:bookmarkEnd w:id="25"/>
      <w:bookmarkEnd w:id="27"/>
      <w:r>
        <w:rPr>
          <w:rFonts w:hint="eastAsia"/>
        </w:rPr>
        <w:t>七、结论</w:t>
      </w:r>
    </w:p>
    <w:p w14:paraId="16AA301D" w14:textId="77777777" w:rsidR="00426235" w:rsidRDefault="00000000" w:rsidP="00091DF9">
      <w:pPr>
        <w:pStyle w:val="FirstParagraph"/>
        <w:ind w:firstLine="480"/>
      </w:pPr>
      <w:r>
        <w:rPr>
          <w:rFonts w:hint="eastAsia"/>
        </w:rPr>
        <w:t>本文对</w:t>
      </w:r>
      <w:r>
        <w:rPr>
          <w:rFonts w:hint="eastAsia"/>
        </w:rPr>
        <w:t>NARCISSUS</w:t>
      </w:r>
      <w:r>
        <w:rPr>
          <w:rFonts w:hint="eastAsia"/>
        </w:rPr>
        <w:t>清洁标签后门攻击的跨架构触发器转移性进行了系统性的研究。通过对原始论文实验数据的深入分析，我们发现了几个重要的规律。</w:t>
      </w:r>
    </w:p>
    <w:p w14:paraId="1A048BF9" w14:textId="77777777" w:rsidR="00426235" w:rsidRDefault="00000000" w:rsidP="00091DF9">
      <w:pPr>
        <w:pStyle w:val="a0"/>
        <w:ind w:firstLine="480"/>
      </w:pPr>
      <w:r>
        <w:rPr>
          <w:rFonts w:hint="eastAsia"/>
        </w:rPr>
        <w:t>首先，</w:t>
      </w:r>
      <w:r>
        <w:rPr>
          <w:rFonts w:hint="eastAsia"/>
        </w:rPr>
        <w:t>NARCISSUS</w:t>
      </w:r>
      <w:r>
        <w:rPr>
          <w:rFonts w:hint="eastAsia"/>
        </w:rPr>
        <w:t>触发器具有卓越的跨架构转移性，平均转移成功率达到</w:t>
      </w:r>
      <w:r>
        <w:rPr>
          <w:rFonts w:hint="eastAsia"/>
        </w:rPr>
        <w:t>96.84%</w:t>
      </w:r>
      <w:r>
        <w:rPr>
          <w:rFonts w:hint="eastAsia"/>
        </w:rPr>
        <w:t>，在某些情况下甚至高于同架构攻击。这一发现表明，</w:t>
      </w:r>
      <w:r>
        <w:rPr>
          <w:rFonts w:hint="eastAsia"/>
        </w:rPr>
        <w:t>NARCISSUS</w:t>
      </w:r>
      <w:r>
        <w:rPr>
          <w:rFonts w:hint="eastAsia"/>
        </w:rPr>
        <w:t>中具有极高的在现实场景实用性，攻击者无需准确获知受害者使用的模型架构即可实施有效攻击。</w:t>
      </w:r>
    </w:p>
    <w:p w14:paraId="3B7A9537" w14:textId="77777777" w:rsidR="00426235" w:rsidRDefault="00000000" w:rsidP="00091DF9">
      <w:pPr>
        <w:pStyle w:val="a0"/>
        <w:ind w:firstLine="480"/>
      </w:pPr>
      <w:r>
        <w:rPr>
          <w:rFonts w:hint="eastAsia"/>
        </w:rPr>
        <w:t>其次，触发器的转移性呈现高度对称性。从模型</w:t>
      </w:r>
      <w:r>
        <w:rPr>
          <w:rFonts w:hint="eastAsia"/>
        </w:rPr>
        <w:t>A</w:t>
      </w:r>
      <w:r>
        <w:rPr>
          <w:rFonts w:hint="eastAsia"/>
        </w:rPr>
        <w:t>到模型</w:t>
      </w:r>
      <w:r>
        <w:rPr>
          <w:rFonts w:hint="eastAsia"/>
        </w:rPr>
        <w:t>B</w:t>
      </w:r>
      <w:r>
        <w:rPr>
          <w:rFonts w:hint="eastAsia"/>
        </w:rPr>
        <w:t>的转移成功率与从模型</w:t>
      </w:r>
      <w:r>
        <w:rPr>
          <w:rFonts w:hint="eastAsia"/>
        </w:rPr>
        <w:t>B</w:t>
      </w:r>
      <w:r>
        <w:rPr>
          <w:rFonts w:hint="eastAsia"/>
        </w:rPr>
        <w:t>到模型</w:t>
      </w:r>
      <w:r>
        <w:rPr>
          <w:rFonts w:hint="eastAsia"/>
        </w:rPr>
        <w:t>A</w:t>
      </w:r>
      <w:r>
        <w:rPr>
          <w:rFonts w:hint="eastAsia"/>
        </w:rPr>
        <w:t>几乎完全相同，差异可忽略不计。这种对称性证实了触发器的有效性主要取决于目标类特征的通用性，而非特定于某个模型架构。</w:t>
      </w:r>
    </w:p>
    <w:p w14:paraId="68BB3CF0" w14:textId="77777777" w:rsidR="00426235" w:rsidRDefault="00000000" w:rsidP="00091DF9">
      <w:pPr>
        <w:pStyle w:val="a0"/>
        <w:ind w:firstLine="480"/>
      </w:pPr>
      <w:r>
        <w:rPr>
          <w:rFonts w:hint="eastAsia"/>
        </w:rPr>
        <w:lastRenderedPageBreak/>
        <w:t>第三，</w:t>
      </w:r>
      <w:r>
        <w:rPr>
          <w:rFonts w:hint="eastAsia"/>
        </w:rPr>
        <w:t>GoogLeNet</w:t>
      </w:r>
      <w:r>
        <w:rPr>
          <w:rFonts w:hint="eastAsia"/>
        </w:rPr>
        <w:t>是生成触发器的最佳替代模型选择。使用</w:t>
      </w:r>
      <w:r>
        <w:rPr>
          <w:rFonts w:hint="eastAsia"/>
        </w:rPr>
        <w:t>GoogLeNet</w:t>
      </w:r>
      <w:r>
        <w:rPr>
          <w:rFonts w:hint="eastAsia"/>
        </w:rPr>
        <w:t>作为替代模型时，平均转移成功率高达</w:t>
      </w:r>
      <w:r>
        <w:rPr>
          <w:rFonts w:hint="eastAsia"/>
        </w:rPr>
        <w:t>99.83%</w:t>
      </w:r>
      <w:r>
        <w:rPr>
          <w:rFonts w:hint="eastAsia"/>
        </w:rPr>
        <w:t>。这一发现可能与</w:t>
      </w:r>
      <w:r>
        <w:rPr>
          <w:rFonts w:hint="eastAsia"/>
        </w:rPr>
        <w:t>GoogLeNet</w:t>
      </w:r>
      <w:r>
        <w:rPr>
          <w:rFonts w:hint="eastAsia"/>
        </w:rPr>
        <w:t>的</w:t>
      </w:r>
      <w:r>
        <w:rPr>
          <w:rFonts w:hint="eastAsia"/>
        </w:rPr>
        <w:t>Inception</w:t>
      </w:r>
      <w:r>
        <w:rPr>
          <w:rFonts w:hint="eastAsia"/>
        </w:rPr>
        <w:t>架构能够提取多尺度特征有关。</w:t>
      </w:r>
    </w:p>
    <w:p w14:paraId="7995F3BD" w14:textId="7B861B8F" w:rsidR="00426235" w:rsidRDefault="00000000" w:rsidP="00091DF9">
      <w:pPr>
        <w:pStyle w:val="a0"/>
        <w:ind w:firstLine="480"/>
      </w:pPr>
      <w:r>
        <w:rPr>
          <w:rFonts w:hint="eastAsia"/>
        </w:rPr>
        <w:t>最后，我们的研究发现对后门防御策略的设计具有重要启示。由于</w:t>
      </w:r>
      <w:r>
        <w:rPr>
          <w:rFonts w:hint="eastAsia"/>
        </w:rPr>
        <w:t>NARCISSUS</w:t>
      </w:r>
      <w:r>
        <w:rPr>
          <w:rFonts w:hint="eastAsia"/>
        </w:rPr>
        <w:t>触发器具有出色的跨架构转移性和对各种防御方法的强抵抗性，传统的基于特定触发器模式的检测方法面临更大挑战。未来需要开发更加鲁棒的防御机制，以应对这类先进的后门攻击。</w:t>
      </w:r>
    </w:p>
    <w:p w14:paraId="08B4A2DC" w14:textId="77777777" w:rsidR="00426235" w:rsidRDefault="00000000">
      <w:pPr>
        <w:pStyle w:val="2"/>
      </w:pPr>
      <w:bookmarkStart w:id="29" w:name="参考文献"/>
      <w:bookmarkEnd w:id="28"/>
      <w:r>
        <w:rPr>
          <w:rFonts w:hint="eastAsia"/>
        </w:rPr>
        <w:t>参考文献</w:t>
      </w:r>
    </w:p>
    <w:bookmarkEnd w:id="0"/>
    <w:bookmarkEnd w:id="29"/>
    <w:p w14:paraId="5E40FE03" w14:textId="77777777" w:rsidR="005822B7" w:rsidRPr="005822B7" w:rsidRDefault="005822B7" w:rsidP="005822B7">
      <w:pPr>
        <w:pStyle w:val="a0"/>
      </w:pPr>
      <w:r w:rsidRPr="005822B7">
        <w:t xml:space="preserve">[1] A. Dosovitskiy, L. Beyer, A. Kolesnikov, D. Weissenborn, X. Zhai, T. Unterthiner, M. Dehghani, M. Minderer, G. Heigold, S. Gelly, J. Uszkoreit, and N. Cubuk, "An image is worth 16x16 words: Transformers for image recognition at scale," in </w:t>
      </w:r>
      <w:r w:rsidRPr="005822B7">
        <w:rPr>
          <w:i/>
          <w:iCs/>
        </w:rPr>
        <w:t>Proc. Int. Conf. Learn. Represent. (ICLR)</w:t>
      </w:r>
      <w:r w:rsidRPr="005822B7">
        <w:t xml:space="preserve">, 2021. [Online]. Available: </w:t>
      </w:r>
      <w:hyperlink r:id="rId11" w:history="1">
        <w:r w:rsidRPr="005822B7">
          <w:rPr>
            <w:rStyle w:val="af"/>
          </w:rPr>
          <w:t>https://arxiv.org/abs/2010.11929</w:t>
        </w:r>
      </w:hyperlink>
    </w:p>
    <w:p w14:paraId="7E5DA116" w14:textId="77777777" w:rsidR="005822B7" w:rsidRPr="005822B7" w:rsidRDefault="005822B7" w:rsidP="005822B7">
      <w:pPr>
        <w:pStyle w:val="a0"/>
      </w:pPr>
      <w:r w:rsidRPr="005822B7">
        <w:t xml:space="preserve">[2] M. Tan and Q. Le, "EfficientNet: Rethinking model scaling for convolutional neural networks," in </w:t>
      </w:r>
      <w:r w:rsidRPr="005822B7">
        <w:rPr>
          <w:i/>
          <w:iCs/>
        </w:rPr>
        <w:t>Proc. 36th Int. Conf. Mach. Learn. (ICML)</w:t>
      </w:r>
      <w:r w:rsidRPr="005822B7">
        <w:t>, 2019, pp. 6105–6114.</w:t>
      </w:r>
    </w:p>
    <w:p w14:paraId="68F9CDB0" w14:textId="77777777" w:rsidR="005822B7" w:rsidRPr="005822B7" w:rsidRDefault="005822B7" w:rsidP="005822B7">
      <w:pPr>
        <w:pStyle w:val="a0"/>
      </w:pPr>
      <w:r w:rsidRPr="005822B7">
        <w:t xml:space="preserve">[3] J. Devlin, M.-W. Chang, K. Lee, and K. Toutanova, "BERT: Pre-training of deep bidirectional transformers for language understanding," in </w:t>
      </w:r>
      <w:r w:rsidRPr="005822B7">
        <w:rPr>
          <w:i/>
          <w:iCs/>
        </w:rPr>
        <w:t>Proc. NAACL-HLT</w:t>
      </w:r>
      <w:r w:rsidRPr="005822B7">
        <w:t>, 2019, pp. 4171–4186. doi: 10.18653/v1/N19-1423</w:t>
      </w:r>
    </w:p>
    <w:p w14:paraId="5254CD27" w14:textId="77777777" w:rsidR="005822B7" w:rsidRPr="005822B7" w:rsidRDefault="005822B7" w:rsidP="005822B7">
      <w:pPr>
        <w:pStyle w:val="a0"/>
      </w:pPr>
      <w:r w:rsidRPr="005822B7">
        <w:t xml:space="preserve">[4] T. Gu, B. Dolan-Gavitt, and S. Garg, "BadNets: Identifying vulnerabilities in the machine learning model supply chain," </w:t>
      </w:r>
      <w:r w:rsidRPr="005822B7">
        <w:rPr>
          <w:i/>
          <w:iCs/>
        </w:rPr>
        <w:t>arXiv preprint arXiv:1708.06733</w:t>
      </w:r>
      <w:r w:rsidRPr="005822B7">
        <w:t>, 2017.</w:t>
      </w:r>
    </w:p>
    <w:p w14:paraId="1A4F2072" w14:textId="77777777" w:rsidR="005822B7" w:rsidRPr="005822B7" w:rsidRDefault="005822B7" w:rsidP="005822B7">
      <w:pPr>
        <w:pStyle w:val="a0"/>
      </w:pPr>
      <w:r w:rsidRPr="005822B7">
        <w:t xml:space="preserve">[5] X. Chen, C. Liu, B. Li, K. Lu, and D. Song, "Targeted backdoor attacks on deep learning systems using data poisoning," </w:t>
      </w:r>
      <w:r w:rsidRPr="005822B7">
        <w:rPr>
          <w:i/>
          <w:iCs/>
        </w:rPr>
        <w:t>arXiv preprint arXiv:1712.05526</w:t>
      </w:r>
      <w:r w:rsidRPr="005822B7">
        <w:t>, 2017.</w:t>
      </w:r>
    </w:p>
    <w:p w14:paraId="689C6FA2" w14:textId="77777777" w:rsidR="005822B7" w:rsidRPr="005822B7" w:rsidRDefault="005822B7" w:rsidP="005822B7">
      <w:pPr>
        <w:pStyle w:val="a0"/>
      </w:pPr>
      <w:r w:rsidRPr="005822B7">
        <w:t xml:space="preserve">[6] Y. Li, B. Wu, Y. Jiang, Z. Li, and S.-T. Xia, "Backdoor learning: A survey," </w:t>
      </w:r>
      <w:r w:rsidRPr="005822B7">
        <w:rPr>
          <w:i/>
          <w:iCs/>
        </w:rPr>
        <w:t>arXiv preprint arXiv:2007.08745</w:t>
      </w:r>
      <w:r w:rsidRPr="005822B7">
        <w:t>, 2020.</w:t>
      </w:r>
    </w:p>
    <w:p w14:paraId="547378DC" w14:textId="77777777" w:rsidR="005822B7" w:rsidRPr="005822B7" w:rsidRDefault="005822B7" w:rsidP="005822B7">
      <w:pPr>
        <w:pStyle w:val="a0"/>
      </w:pPr>
      <w:r w:rsidRPr="005822B7">
        <w:t xml:space="preserve">[7] A. Turner, D. Tsipras, and A. Madry, "Label-consistent backdoor attacks," </w:t>
      </w:r>
      <w:r w:rsidRPr="005822B7">
        <w:rPr>
          <w:i/>
          <w:iCs/>
        </w:rPr>
        <w:t>arXiv preprint arXiv:1912.02771</w:t>
      </w:r>
      <w:r w:rsidRPr="005822B7">
        <w:t>, 2019.</w:t>
      </w:r>
    </w:p>
    <w:p w14:paraId="6CF0760C" w14:textId="77777777" w:rsidR="005822B7" w:rsidRPr="005822B7" w:rsidRDefault="005822B7" w:rsidP="005822B7">
      <w:pPr>
        <w:pStyle w:val="a0"/>
      </w:pPr>
      <w:r w:rsidRPr="005822B7">
        <w:t xml:space="preserve">[8] Y. Zeng, M. Pan, H. A. Just, L. Lyu, M. Qiu, and R. Jia, "Narcissus: A practical clean-label backdoor attack with limited information," in </w:t>
      </w:r>
      <w:r w:rsidRPr="005822B7">
        <w:rPr>
          <w:i/>
          <w:iCs/>
        </w:rPr>
        <w:t>Proc. IEEE/CVF Conf. Comput. Vis. Pattern Recognit. (CVPR)</w:t>
      </w:r>
      <w:r w:rsidRPr="005822B7">
        <w:t>, 2023, pp. 27645–27656.</w:t>
      </w:r>
    </w:p>
    <w:p w14:paraId="5FED9A4D" w14:textId="77777777" w:rsidR="005822B7" w:rsidRPr="005822B7" w:rsidRDefault="005822B7" w:rsidP="005822B7">
      <w:pPr>
        <w:pStyle w:val="a0"/>
      </w:pPr>
      <w:r w:rsidRPr="005822B7">
        <w:t xml:space="preserve">[9] A. Saha, A. Subramanya, and H. Pirsiavash, "Hidden trigger backdoor attacks," in </w:t>
      </w:r>
      <w:r w:rsidRPr="005822B7">
        <w:rPr>
          <w:i/>
          <w:iCs/>
        </w:rPr>
        <w:t>Proc. AAAI Conf. Artif. Intell.</w:t>
      </w:r>
      <w:r w:rsidRPr="005822B7">
        <w:t>, vol. 34, no. 07, 2020, pp. 11957–11965. doi: 10.1609/</w:t>
      </w:r>
      <w:proofErr w:type="gramStart"/>
      <w:r w:rsidRPr="005822B7">
        <w:t>aaai.v</w:t>
      </w:r>
      <w:proofErr w:type="gramEnd"/>
      <w:r w:rsidRPr="005822B7">
        <w:t>34i07.6871</w:t>
      </w:r>
    </w:p>
    <w:p w14:paraId="39456433" w14:textId="77777777" w:rsidR="005822B7" w:rsidRPr="005822B7" w:rsidRDefault="005822B7" w:rsidP="005822B7">
      <w:pPr>
        <w:pStyle w:val="a0"/>
      </w:pPr>
      <w:r w:rsidRPr="005822B7">
        <w:t xml:space="preserve">[10] H. Souri, M. Goldblum, L. Fowl, R. Chellappa, and T. Goldstein, "Sleeper agent: Scalable hidden trigger backdoors for neural networks trained from scratch," in </w:t>
      </w:r>
      <w:r w:rsidRPr="005822B7">
        <w:rPr>
          <w:i/>
          <w:iCs/>
        </w:rPr>
        <w:lastRenderedPageBreak/>
        <w:t>Proc. Int. Conf. Learn. Represent. (ICLR)</w:t>
      </w:r>
      <w:r w:rsidRPr="005822B7">
        <w:t xml:space="preserve">, 2022. [Online]. Available: </w:t>
      </w:r>
      <w:hyperlink r:id="rId12" w:history="1">
        <w:r w:rsidRPr="005822B7">
          <w:rPr>
            <w:rStyle w:val="af"/>
          </w:rPr>
          <w:t>https://arxiv.org/abs/2106.08970</w:t>
        </w:r>
      </w:hyperlink>
    </w:p>
    <w:p w14:paraId="3621C568" w14:textId="77777777" w:rsidR="005822B7" w:rsidRPr="005822B7" w:rsidRDefault="005822B7" w:rsidP="005822B7">
      <w:pPr>
        <w:pStyle w:val="a0"/>
      </w:pPr>
      <w:r w:rsidRPr="005822B7">
        <w:t xml:space="preserve">[11] B. Wang, Y. Yao, S. Shan, H. Li, B. Viswanath, H. Zheng, and B. Y. Zhao, "Neural cleanse: Identifying and mitigating backdoor attacks in neural networks," in </w:t>
      </w:r>
      <w:r w:rsidRPr="005822B7">
        <w:rPr>
          <w:i/>
          <w:iCs/>
        </w:rPr>
        <w:t>Proc. IEEE Symp. Secur. Priv. (SP)</w:t>
      </w:r>
      <w:r w:rsidRPr="005822B7">
        <w:t>, 2019, pp. 707–723. doi: 10.1109/SP.2019.00031</w:t>
      </w:r>
    </w:p>
    <w:p w14:paraId="489EE832" w14:textId="77777777" w:rsidR="005822B7" w:rsidRPr="005822B7" w:rsidRDefault="005822B7" w:rsidP="005822B7">
      <w:pPr>
        <w:pStyle w:val="a0"/>
      </w:pPr>
      <w:r w:rsidRPr="005822B7">
        <w:t xml:space="preserve">[12] K. Liu, B. Dolan-Gavitt, and S. Garg, "Fine-pruning: Defending against backdooring attacks on deep neural networks," in </w:t>
      </w:r>
      <w:r w:rsidRPr="005822B7">
        <w:rPr>
          <w:i/>
          <w:iCs/>
        </w:rPr>
        <w:t>Proc. Int. Symp. Res. Attacks, Intrusions, Defenses (RAID)</w:t>
      </w:r>
      <w:r w:rsidRPr="005822B7">
        <w:t>, 2018, pp. 273–294. doi: 10.1007/978-3-030-00470-5_13</w:t>
      </w:r>
    </w:p>
    <w:p w14:paraId="133E8F99" w14:textId="77777777" w:rsidR="005822B7" w:rsidRPr="005822B7" w:rsidRDefault="005822B7" w:rsidP="005822B7">
      <w:pPr>
        <w:pStyle w:val="a0"/>
      </w:pPr>
      <w:r w:rsidRPr="005822B7">
        <w:t xml:space="preserve">[13] Y. Zeng, S. Chen, W. Park, Z. Mao, M. Jin, and R. Jia, "Adversarial unlearning of backdoors via implicit hypergradient," in </w:t>
      </w:r>
      <w:r w:rsidRPr="005822B7">
        <w:rPr>
          <w:i/>
          <w:iCs/>
        </w:rPr>
        <w:t>Proc. Int. Conf. Learn. Represent. (ICLR)</w:t>
      </w:r>
      <w:r w:rsidRPr="005822B7">
        <w:t>, 2022.</w:t>
      </w:r>
    </w:p>
    <w:p w14:paraId="6217945B" w14:textId="77777777" w:rsidR="005822B7" w:rsidRPr="005822B7" w:rsidRDefault="005822B7" w:rsidP="005822B7">
      <w:pPr>
        <w:pStyle w:val="a0"/>
      </w:pPr>
      <w:r w:rsidRPr="005822B7">
        <w:t xml:space="preserve">[14] Y. Li, X. Lyu, N. Koren, L. Lyu, B. Li, and X. Ma, "Anti-backdoor learning: Training clean models on poisoned data," in </w:t>
      </w:r>
      <w:r w:rsidRPr="005822B7">
        <w:rPr>
          <w:i/>
          <w:iCs/>
        </w:rPr>
        <w:t>Adv. Neural Inf. Process. Syst. (NeurIPS)</w:t>
      </w:r>
      <w:r w:rsidRPr="005822B7">
        <w:t>, vol. 34, 2021, pp. 26500–26512.</w:t>
      </w:r>
    </w:p>
    <w:p w14:paraId="3DA3549B" w14:textId="77777777" w:rsidR="005822B7" w:rsidRPr="005822B7" w:rsidRDefault="005822B7" w:rsidP="005822B7">
      <w:pPr>
        <w:pStyle w:val="a0"/>
      </w:pPr>
      <w:r w:rsidRPr="005822B7">
        <w:t xml:space="preserve">[15] Y. Zeng, W. Park, Z. M. Mao, and R. Jia, "Rethinking the backdoor attacks' triggers: A frequency perspective," in </w:t>
      </w:r>
      <w:r w:rsidRPr="005822B7">
        <w:rPr>
          <w:i/>
          <w:iCs/>
        </w:rPr>
        <w:t>Proc. IEEE/CVF Int. Conf. Comput. Vis. (ICCV)</w:t>
      </w:r>
      <w:r w:rsidRPr="005822B7">
        <w:t>, 2021, pp. 4583–4593.</w:t>
      </w:r>
    </w:p>
    <w:p w14:paraId="3DF18737" w14:textId="77777777" w:rsidR="005822B7" w:rsidRPr="005822B7" w:rsidRDefault="005822B7" w:rsidP="005822B7">
      <w:pPr>
        <w:pStyle w:val="a0"/>
      </w:pPr>
      <w:r w:rsidRPr="005822B7">
        <w:t xml:space="preserve">[16] K. He, X. Zhang, S. Ren, and J. Sun, "Deep residual learning for image recognition," in </w:t>
      </w:r>
      <w:r w:rsidRPr="005822B7">
        <w:rPr>
          <w:i/>
          <w:iCs/>
        </w:rPr>
        <w:t>Proc. IEEE Conf. Comput. Vis. Pattern Recognit. (CVPR)</w:t>
      </w:r>
      <w:r w:rsidRPr="005822B7">
        <w:t>, 2016, pp. 770–778. doi: 10.1109/CVPR.2016.90</w:t>
      </w:r>
    </w:p>
    <w:p w14:paraId="75DD18B4" w14:textId="77777777" w:rsidR="005822B7" w:rsidRPr="005822B7" w:rsidRDefault="005822B7" w:rsidP="005822B7">
      <w:pPr>
        <w:pStyle w:val="a0"/>
      </w:pPr>
      <w:r w:rsidRPr="005822B7">
        <w:t xml:space="preserve">[17] C. Szegedy, W. Liu, Y. Jia, P. Sermanet, S. Reed, D. Anguelov, D. Erhan, V. Vanhoucke, and A. Rabinovich, "Going deeper with convolutions," in </w:t>
      </w:r>
      <w:r w:rsidRPr="005822B7">
        <w:rPr>
          <w:i/>
          <w:iCs/>
        </w:rPr>
        <w:t>Proc. IEEE Conf. Comput. Vis. Pattern Recognit. (CVPR)</w:t>
      </w:r>
      <w:r w:rsidRPr="005822B7">
        <w:t>, 2015, pp. 1–9. doi: 10.1109/CVPR.2015.7298594</w:t>
      </w:r>
    </w:p>
    <w:p w14:paraId="7BE67F98" w14:textId="400A17D4" w:rsidR="00426235" w:rsidRPr="005822B7" w:rsidRDefault="00426235" w:rsidP="00481514">
      <w:pPr>
        <w:pStyle w:val="a0"/>
      </w:pPr>
    </w:p>
    <w:sectPr w:rsidR="00426235" w:rsidRPr="005822B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64C7" w14:textId="77777777" w:rsidR="00F54C9D" w:rsidRDefault="00F54C9D" w:rsidP="00B66BC6">
      <w:pPr>
        <w:spacing w:after="0"/>
      </w:pPr>
      <w:r>
        <w:separator/>
      </w:r>
    </w:p>
  </w:endnote>
  <w:endnote w:type="continuationSeparator" w:id="0">
    <w:p w14:paraId="0FA98B98" w14:textId="77777777" w:rsidR="00F54C9D" w:rsidRDefault="00F54C9D" w:rsidP="00B66B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77C3" w14:textId="77777777" w:rsidR="00F54C9D" w:rsidRDefault="00F54C9D" w:rsidP="00B66BC6">
      <w:pPr>
        <w:spacing w:after="0"/>
      </w:pPr>
      <w:r>
        <w:separator/>
      </w:r>
    </w:p>
  </w:footnote>
  <w:footnote w:type="continuationSeparator" w:id="0">
    <w:p w14:paraId="33137D9C" w14:textId="77777777" w:rsidR="00F54C9D" w:rsidRDefault="00F54C9D" w:rsidP="00B66B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DA2E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0700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8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26235"/>
    <w:rsid w:val="00014D0D"/>
    <w:rsid w:val="00057E03"/>
    <w:rsid w:val="00091DF9"/>
    <w:rsid w:val="000C7B1C"/>
    <w:rsid w:val="000E73AB"/>
    <w:rsid w:val="00100DFA"/>
    <w:rsid w:val="001531BB"/>
    <w:rsid w:val="00167540"/>
    <w:rsid w:val="001D48D0"/>
    <w:rsid w:val="00227097"/>
    <w:rsid w:val="00286A74"/>
    <w:rsid w:val="002A5FAC"/>
    <w:rsid w:val="00426235"/>
    <w:rsid w:val="00454860"/>
    <w:rsid w:val="00472807"/>
    <w:rsid w:val="00481514"/>
    <w:rsid w:val="004B7F61"/>
    <w:rsid w:val="004F6935"/>
    <w:rsid w:val="00502934"/>
    <w:rsid w:val="0052039C"/>
    <w:rsid w:val="00521B8F"/>
    <w:rsid w:val="005822B7"/>
    <w:rsid w:val="005844C1"/>
    <w:rsid w:val="00630344"/>
    <w:rsid w:val="00656DD6"/>
    <w:rsid w:val="00694647"/>
    <w:rsid w:val="007447AC"/>
    <w:rsid w:val="007C76E0"/>
    <w:rsid w:val="00826C84"/>
    <w:rsid w:val="008605D7"/>
    <w:rsid w:val="008D20F0"/>
    <w:rsid w:val="008E66D9"/>
    <w:rsid w:val="00921967"/>
    <w:rsid w:val="009E594B"/>
    <w:rsid w:val="00A05168"/>
    <w:rsid w:val="00A9706D"/>
    <w:rsid w:val="00AD27E9"/>
    <w:rsid w:val="00B17EE0"/>
    <w:rsid w:val="00B579DE"/>
    <w:rsid w:val="00B61983"/>
    <w:rsid w:val="00B62585"/>
    <w:rsid w:val="00B66BC6"/>
    <w:rsid w:val="00BB7B66"/>
    <w:rsid w:val="00BE3CCA"/>
    <w:rsid w:val="00C42F04"/>
    <w:rsid w:val="00C972E7"/>
    <w:rsid w:val="00CC246B"/>
    <w:rsid w:val="00CE7743"/>
    <w:rsid w:val="00D2585C"/>
    <w:rsid w:val="00DB494F"/>
    <w:rsid w:val="00E50B8C"/>
    <w:rsid w:val="00E656F6"/>
    <w:rsid w:val="00E735F1"/>
    <w:rsid w:val="00E86361"/>
    <w:rsid w:val="00E87188"/>
    <w:rsid w:val="00E97D74"/>
    <w:rsid w:val="00F25285"/>
    <w:rsid w:val="00F54C9D"/>
    <w:rsid w:val="00F64166"/>
    <w:rsid w:val="00FB054D"/>
    <w:rsid w:val="00FC0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D4F221"/>
  <w15:docId w15:val="{13245D74-147B-48C5-B297-6C434DB30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B66BC6"/>
    <w:pPr>
      <w:tabs>
        <w:tab w:val="center" w:pos="4153"/>
        <w:tab w:val="right" w:pos="8306"/>
      </w:tabs>
      <w:snapToGrid w:val="0"/>
      <w:jc w:val="center"/>
    </w:pPr>
    <w:rPr>
      <w:sz w:val="18"/>
      <w:szCs w:val="18"/>
    </w:rPr>
  </w:style>
  <w:style w:type="character" w:customStyle="1" w:styleId="af1">
    <w:name w:val="页眉 字符"/>
    <w:basedOn w:val="a1"/>
    <w:link w:val="af0"/>
    <w:rsid w:val="00B66BC6"/>
    <w:rPr>
      <w:sz w:val="18"/>
      <w:szCs w:val="18"/>
    </w:rPr>
  </w:style>
  <w:style w:type="paragraph" w:styleId="af2">
    <w:name w:val="footer"/>
    <w:basedOn w:val="a"/>
    <w:link w:val="af3"/>
    <w:rsid w:val="00B66BC6"/>
    <w:pPr>
      <w:tabs>
        <w:tab w:val="center" w:pos="4153"/>
        <w:tab w:val="right" w:pos="8306"/>
      </w:tabs>
      <w:snapToGrid w:val="0"/>
    </w:pPr>
    <w:rPr>
      <w:sz w:val="18"/>
      <w:szCs w:val="18"/>
    </w:rPr>
  </w:style>
  <w:style w:type="character" w:customStyle="1" w:styleId="af3">
    <w:name w:val="页脚 字符"/>
    <w:basedOn w:val="a1"/>
    <w:link w:val="af2"/>
    <w:rsid w:val="00B66BC6"/>
    <w:rPr>
      <w:sz w:val="18"/>
      <w:szCs w:val="18"/>
    </w:rPr>
  </w:style>
  <w:style w:type="table" w:styleId="af4">
    <w:name w:val="Table Grid"/>
    <w:basedOn w:val="a2"/>
    <w:rsid w:val="008D20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1"/>
    <w:uiPriority w:val="99"/>
    <w:semiHidden/>
    <w:unhideWhenUsed/>
    <w:rsid w:val="005822B7"/>
    <w:rPr>
      <w:color w:val="605E5C"/>
      <w:shd w:val="clear" w:color="auto" w:fill="E1DFDD"/>
    </w:rPr>
  </w:style>
  <w:style w:type="character" w:styleId="af6">
    <w:name w:val="FollowedHyperlink"/>
    <w:basedOn w:val="a1"/>
    <w:rsid w:val="005822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quanizumi/NARCISSUS_Transferability" TargetMode="External"/><Relationship Id="rId12" Type="http://schemas.openxmlformats.org/officeDocument/2006/relationships/hyperlink" Target="https://arxiv.org/abs/2106.089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010.11929"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2618</Words>
  <Characters>9898</Characters>
  <Application>Microsoft Office Word</Application>
  <DocSecurity>0</DocSecurity>
  <Lines>341</Lines>
  <Paragraphs>329</Paragraphs>
  <ScaleCrop>false</ScaleCrop>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Liao ZhenQuan</cp:lastModifiedBy>
  <cp:revision>53</cp:revision>
  <dcterms:created xsi:type="dcterms:W3CDTF">2026-02-24T08:52:00Z</dcterms:created>
  <dcterms:modified xsi:type="dcterms:W3CDTF">2026-02-24T11:18:00Z</dcterms:modified>
</cp:coreProperties>
</file>