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hub CRM &amp;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Ghi nhận xuất kho (chưa triển khai — kế hoạch K6-K8)</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kho (chưa triển khai — hiện dựa vào chế độ điều chỉnh tồn kho gốc của Odoo)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(chưa triển khai — backlog Phase 3,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(chưa triển khai — chỉ mới seed sẵn loại phiếu, chưa có logic/màn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 xml:space="preserve">Tỷ lệ hao hụt và thu hồi phế liệu mặc định được thiết lập theo nhóm vật tư hoặc theo từng vật tư cụ thể (ưu tiên </w:t>
            </w:r>
            <w:r>
              <w:rPr>
                <w:rFonts w:ascii="Roboto" w:eastAsia="Roboto" w:hAnsi="Roboto" w:cs="Roboto"/>
                <w:color w:val="0B0B0B"/>
                <w:sz w:val="20"/>
                <w:szCs w:val="20"/>
              </w:rPr>
              <w:lastRenderedPageBreak/>
              <w:t>vật tư cụ thể khi trùng), tự điền khi lập định mức</w:t>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các tham số tính giá được đặt bất hợp lý</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Hình dạng và cách đo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đo và hình dạng vật tư (tấm, thanh, ống…) làm cơ sở để định mức tự tính lượng vật tư theo kích thước</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Ghi nhận xuất kho</w:t>
            </w:r>
          </w:p>
        </w:tc>
        <w:tc>
          <w:tcPr>
            <w:tcW w:type="dxa" w:w="1336"/>
          </w:tcPr>
          <w:p>
            <w:r>
              <w:t>Must</w:t>
            </w:r>
          </w:p>
        </w:tc>
        <w:tc>
          <w:tcPr>
            <w:tcW w:type="dxa" w:w="1336"/>
          </w:tcPr>
          <w:p>
            <w:r>
              <w:t>Chưa triển khai — dự kiến K6-K8 (giao hàng khách, xuất huỷ, xuất sản xuất thủ công)</w:t>
            </w:r>
          </w:p>
        </w:tc>
        <w:tc>
          <w:tcPr>
            <w:tcW w:type="dxa" w:w="1336"/>
          </w:tcPr>
          <w:p>
            <w:r>
              <w:t>UC-092</w:t>
            </w:r>
          </w:p>
        </w:tc>
        <w:tc>
          <w:tcPr>
            <w:tcW w:type="dxa" w:w="1336"/>
          </w:tcPr>
          <w:p>
            <w:r/>
          </w:p>
        </w:tc>
        <w:tc>
          <w:tcPr>
            <w:tcW w:type="dxa" w:w="1336"/>
          </w:tcPr>
          <w:p>
            <w:r>
              <w:t>—</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kho</w:t>
            </w:r>
          </w:p>
        </w:tc>
        <w:tc>
          <w:tcPr>
            <w:tcW w:type="dxa" w:w="1336"/>
          </w:tcPr>
          <w:p>
            <w:r>
              <w:t>Should</w:t>
            </w:r>
          </w:p>
        </w:tc>
        <w:tc>
          <w:tcPr>
            <w:tcW w:type="dxa" w:w="1336"/>
          </w:tcPr>
          <w:p>
            <w:r>
              <w:t>Chưa triển khai — hiện dựa vào chế độ điều chỉnh tồn kho gốc của Odoo, không có màn hình riêng của DLM-ERP</w:t>
            </w:r>
          </w:p>
        </w:tc>
        <w:tc>
          <w:tcPr>
            <w:tcW w:type="dxa" w:w="1336"/>
          </w:tcPr>
          <w:p>
            <w:r>
              <w:t>UC-094</w:t>
            </w:r>
          </w:p>
        </w:tc>
        <w:tc>
          <w:tcPr>
            <w:tcW w:type="dxa" w:w="1336"/>
          </w:tcPr>
          <w:p>
            <w:r/>
          </w:p>
        </w:tc>
        <w:tc>
          <w:tcPr>
            <w:tcW w:type="dxa" w:w="1336"/>
          </w:tcPr>
          <w:p>
            <w:r>
              <w:t>—</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UC-074</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UC-076</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UC-074,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UC-081</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UC-081, 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UC-081</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Issue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phiếu xuất kho (chưa triển khai — kế hoạch K6-K8)</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 (chưa triển khai — kế hoạch K6-K8)</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UC-045</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