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nhập/xuất, kiểm kê và theo dõi tồn kho.</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hub CRM &amp;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nhập kho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Ghi nhận xuất kho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và cảnh báo tồn tối thiểu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kho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3857A08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F" w14:textId="77777777" w:rsidR="00F4707D" w:rsidRDefault="00000000">
            <w:pPr>
              <w:jc w:val="center"/>
              <w:rPr>
                <w:b/>
                <w:bCs/>
                <w:sz w:val="16"/>
                <w:szCs w:val="16"/>
              </w:rPr>
            </w:pPr>
            <w:r>
              <w:rPr>
                <w:b/>
                <w:bCs/>
                <w:sz w:val="16"/>
                <w:szCs w:val="16"/>
              </w:rPr>
              <w:t>UC-098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0" w14:textId="77777777" w:rsidR="00F4707D" w:rsidRDefault="00000000">
            <w:pPr>
              <w:rPr>
                <w:sz w:val="16"/>
                <w:szCs w:val="16"/>
              </w:rPr>
            </w:pPr>
            <w:r>
              <w:rPr>
                <w:sz w:val="16"/>
                <w:szCs w:val="16"/>
              </w:rPr>
              <w:t>Duyệt chứng từ kho</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7"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 xml:space="preserve">Tỷ lệ hao hụt và thu hồi phế liệu mặc định được thiết lập theo nhóm vật tư hoặc theo từng vật tư cụ thể (ưu tiên </w:t>
            </w:r>
            <w:r>
              <w:rPr>
                <w:rFonts w:ascii="Roboto" w:eastAsia="Roboto" w:hAnsi="Roboto" w:cs="Roboto"/>
                <w:color w:val="0B0B0B"/>
                <w:sz w:val="20"/>
                <w:szCs w:val="20"/>
              </w:rPr>
              <w:lastRenderedPageBreak/>
              <w:t>vật tư cụ thể khi trùng), tự điền khi lập định mức</w:t>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các tham số tính giá được đặt bất hợp lý</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Hình dạng và cách đo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đo và hình dạng vật tư (tấm, thanh, ống…) làm cơ sở để định mức tự tính lượng vật tư theo kích thước</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UC-074</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UC-076</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UC-074,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UC-081</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UC-081, 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UC-081</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Issue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xuất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UC-094, UC-095</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Đối chiếu và điều chỉnh số lượng trong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UC-045</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