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40" w:lineRule="auto"/>
        <w:ind w:left="0" w:right="9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6"/>
          <w:szCs w:val="26"/>
          <w:highlight w:val="white"/>
          <w:rtl w:val="0"/>
        </w:rPr>
        <w:t xml:space="preserve">The Plasbit Campaign is the first environmental campaign of Tran Dai Nghia High School for the Gifted with the main goal of mitigating misunderstandings around environmental issues, especially regarding waste and other materials. By presenting many realistic but comprehensive paintings about the future, this campaign shows the real impact of our actions on our beloved environment.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x3KqFGjJfhW3Vl7DvU056Zu/A==">CgMxLjA4AHIhMThuM0FBbmJkMHF2R0dTZFU1RmxpMjNEd1pnNU1nTFJw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