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Open Sans" w:cs="Open Sans" w:eastAsia="Open Sans" w:hAnsi="Open Sans"/>
        </w:rPr>
      </w:pPr>
      <w:r w:rsidDel="00000000" w:rsidR="00000000" w:rsidRPr="00000000">
        <w:rPr>
          <w:rFonts w:ascii="Open Sans" w:cs="Open Sans" w:eastAsia="Open Sans" w:hAnsi="Open Sans"/>
          <w:i w:val="1"/>
          <w:sz w:val="26"/>
          <w:szCs w:val="26"/>
          <w:shd w:fill="ead1dc" w:val="clear"/>
          <w:rtl w:val="0"/>
        </w:rPr>
        <w:t xml:space="preserve">Amidst the 'intersection' of school projects and organizations within the MUN Vietnam community, Tran Dai Nghia Open Model United Nations (TOMUN) was born with the powerful mission of promoting the United Nations Model in the Vietnamese school community, as well as creating an academic playground for young people. Over the past three years, TOMUN has achieved many definite successes and has established a strong position within the MUN Vietnam community.</w:t>
      </w:r>
      <w:r w:rsidDel="00000000" w:rsidR="00000000" w:rsidRPr="00000000">
        <w:rPr>
          <w:rtl w:val="0"/>
        </w:rPr>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QWlHXQCLpmbwNoGhMPF36wnCQ==">CgMxLjA4AHIhMXN1VVczS1VMSGV4OHlPckpQWDk4X21hZi1EUTJTLWVf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