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Heterotrait-Monotrait Ratio (HTMT)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861"/>
        <w:gridCol w:w="861"/>
        <w:gridCol w:w="861"/>
        <w:gridCol w:w="875"/>
        <w:gridCol w:w="680"/>
      </w:tblGrid>
      <w:tr>
        <w:trPr>
          <w:trHeight w:val="56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AJ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&lt; 0.85 strict / &lt; 0.90 lenient (Henseler et al., 2015)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2026-02-17T01:56:01Z</dcterms:modified>
  <cp:category/>
</cp:coreProperties>
</file>