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Moderation Interaction Effects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1"/>
        <w:gridCol w:w="655"/>
        <w:gridCol w:w="1437"/>
        <w:gridCol w:w="728"/>
        <w:gridCol w:w="1910"/>
        <w:gridCol w:w="1889"/>
        <w:gridCol w:w="2231"/>
        <w:gridCol w:w="2280"/>
        <w:gridCol w:w="2085"/>
        <w:gridCol w:w="2427"/>
        <w:gridCol w:w="2476"/>
        <w:gridCol w:w="1999"/>
        <w:gridCol w:w="1718"/>
        <w:gridCol w:w="1706"/>
        <w:gridCol w:w="2342"/>
        <w:gridCol w:w="2391"/>
        <w:gridCol w:w="1278"/>
        <w:gridCol w:w="1993"/>
        <w:gridCol w:w="1608"/>
        <w:gridCol w:w="961"/>
        <w:gridCol w:w="949"/>
        <w:gridCol w:w="2171"/>
        <w:gridCol w:w="1352"/>
        <w:gridCol w:w="1425"/>
        <w:gridCol w:w="3649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IV_Direct_Beta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IV_Direct_CI_Low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IV_Direct_CI_High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Mod_Direct_Beta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Mod_Direct_CI_Low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Mod_Direct_CI_High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CI_Method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Sig_Primary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CI_Excludes_Zero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Significant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 * TC → 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manual_two_stage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2.014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0.0832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95%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percentile bootstrap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mismatch; CI used for decision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 * ETH → 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manual_two_stage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-2.632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95%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percentile bootstrap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2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 Two-stage approach (Hair et al., 2022). Simple slopes illustrate the conditional effect at Low (M-1SD), Medium (M), and High (M+1SD) levels of the moderator.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2026-02-17T01:56:04Z</dcterms:modified>
  <cp:category/>
</cp:coreProperties>
</file>