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Heterotrait-Monotrait Ratio (HTMT)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861"/>
        <w:gridCol w:w="861"/>
        <w:gridCol w:w="861"/>
        <w:gridCol w:w="875"/>
        <w:gridCol w:w="680"/>
      </w:tblGrid>
      <w:tr>
        <w:trPr>
          <w:trHeight w:val="56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AJ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Threshold: &lt; 0.85 strict / &lt; 0.90 lenient (Henseler et al., 2015)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2026-02-15T05:48:23Z</dcterms:modified>
  <cp:category/>
</cp:coreProperties>
</file>