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Outer Loadings (Reflective Constructs)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291"/>
        <w:gridCol w:w="119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Loading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0.889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0.561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0.733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0.801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&gt;= 0.708 (Hair et al., 2022)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2026-02-15T05:48:22Z</dcterms:modified>
  <cp:category/>
</cp:coreProperties>
</file>