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Full Results (a, b, c', indirect,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861"/>
        <w:gridCol w:w="1401"/>
        <w:gridCol w:w="1450"/>
        <w:gridCol w:w="861"/>
        <w:gridCol w:w="1413"/>
        <w:gridCol w:w="1462"/>
        <w:gridCol w:w="1205"/>
        <w:gridCol w:w="1254"/>
        <w:gridCol w:w="1241"/>
        <w:gridCol w:w="1877"/>
        <w:gridCol w:w="1926"/>
        <w:gridCol w:w="1400"/>
        <w:gridCol w:w="1657"/>
        <w:gridCol w:w="1645"/>
        <w:gridCol w:w="2048"/>
        <w:gridCol w:w="1511"/>
        <w:gridCol w:w="1425"/>
        <w:gridCol w:w="1413"/>
        <w:gridCol w:w="2048"/>
        <w:gridCol w:w="2097"/>
        <w:gridCol w:w="1572"/>
        <w:gridCol w:w="1829"/>
        <w:gridCol w:w="1816"/>
        <w:gridCol w:w="2219"/>
        <w:gridCol w:w="927"/>
        <w:gridCol w:w="1792"/>
        <w:gridCol w:w="1841"/>
        <w:gridCol w:w="863"/>
        <w:gridCol w:w="3110"/>
        <w:gridCol w:w="4693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 for indirect; CI used for decision. 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3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Saturated structural model with direct X-&gt;Y paths. Nitzl et al. (2016); Zhao et al. (2010); Hair et al. (2022).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2026-02-15T05:48:25Z</dcterms:modified>
  <cp:category/>
</cp:coreProperties>
</file>