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Moderation Interaction Effects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11"/>
        <w:gridCol w:w="655"/>
        <w:gridCol w:w="1437"/>
        <w:gridCol w:w="728"/>
        <w:gridCol w:w="1910"/>
        <w:gridCol w:w="1889"/>
        <w:gridCol w:w="1608"/>
        <w:gridCol w:w="2085"/>
        <w:gridCol w:w="1804"/>
        <w:gridCol w:w="1999"/>
        <w:gridCol w:w="1718"/>
        <w:gridCol w:w="1706"/>
        <w:gridCol w:w="2342"/>
        <w:gridCol w:w="2391"/>
        <w:gridCol w:w="1278"/>
        <w:gridCol w:w="1993"/>
        <w:gridCol w:w="1608"/>
        <w:gridCol w:w="961"/>
        <w:gridCol w:w="949"/>
        <w:gridCol w:w="2171"/>
        <w:gridCol w:w="1352"/>
        <w:gridCol w:w="1425"/>
        <w:gridCol w:w="3649"/>
      </w:tblGrid>
      <w:tr>
        <w:trPr>
          <w:trHeight w:val="60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Interaction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IV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Moderator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DV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IV_Direct_Beta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IV_Direct_T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Mod_Direct_Beta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Mod_Direct_T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Interaction_Beta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Interaction_T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Interaction_P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Interaction_CI_Low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Interaction_CI_High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CI_Level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CI_Method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Sig_Primary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T_Sig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P_Sig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CI_Excludes_Zero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Mismatch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Significant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Notes</w:t>
            </w:r>
          </w:p>
        </w:tc>
      </w:tr>
      <w:tr>
        <w:trPr>
          <w:trHeight w:val="593" w:hRule="auto"/>
        </w:trPr>
        body1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 * TC → AQ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manual_two_stage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0.393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7.949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0.046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1.515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0.052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2.014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0.0828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-0.009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0.098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95%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percentile bootstrap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CI vs t/p mismatch; CI used for decision</w:t>
            </w:r>
          </w:p>
        </w:tc>
      </w:tr>
      <w:tr>
        <w:trPr>
          <w:trHeight w:val="593" w:hRule="auto"/>
        </w:trPr>
        body2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 * ETH → AQ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manual_two_stage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0.393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7.949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0.462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9.135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-0.053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-2.632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0.0228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-0.091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-0.008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95%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percentile bootstrap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footer1
        <w:tc>
          <w:tcPr>
            <w:gridSpan w:val="2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400; Bootstrap B = 5000 (seed = 18). CI method: percentile 95% two-tailed. Primary inference rule: 95% bootstrap CI excludes 0. * significant at alpha = 0.05. Secondary stats (t, p) reported for reference; CI takes precedence if mismatch. Two-stage approach (Hair et al., 2022). Simple slopes illustrate the conditional effect at Low (M-1SD), Medium (M), and High (M+1SD) levels of the moderator.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2026-02-15T05:48:26Z</dcterms:modified>
  <cp:category/>
</cp:coreProperties>
</file>