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Construct Reliability &amp; Convergent Validity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122"/>
        <w:gridCol w:w="1010"/>
        <w:gridCol w:w="861"/>
        <w:gridCol w:w="875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Cronbachs_Alpha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rho_A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0.762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0.745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</w:t>
            </w:r>
          </w:p>
        </w:tc>
      </w:tr>
      <w:tr>
        <w:trPr>
          <w:trHeight w:val="549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Alpha/rho_A/CR: [0.70, 0.95]; AVE &gt;= 0.50 (Hair et al., 2022)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2026-02-15T05:48:23Z</dcterms:modified>
  <cp:category/>
</cp:coreProperties>
</file>