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Heterotrait-Monotrait Ratio (HTMT)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948"/>
        <w:gridCol w:w="861"/>
        <w:gridCol w:w="861"/>
        <w:gridCol w:w="861"/>
        <w:gridCol w:w="861"/>
        <w:gridCol w:w="875"/>
        <w:gridCol w:w="861"/>
        <w:gridCol w:w="861"/>
        <w:gridCol w:w="861"/>
        <w:gridCol w:w="875"/>
        <w:gridCol w:w="741"/>
      </w:tblGrid>
      <w:tr>
        <w:trPr>
          <w:trHeight w:val="59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AQ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&lt; 0.85 strict / &lt; 0.90 lenient (Henseler et al., 2015)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2026-02-13T20:13:57Z</dcterms:modified>
  <cp:category/>
</cp:coreProperties>
</file>