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X: Moderation Interaction Effects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11"/>
        <w:gridCol w:w="655"/>
        <w:gridCol w:w="1437"/>
        <w:gridCol w:w="728"/>
        <w:gridCol w:w="1910"/>
        <w:gridCol w:w="1889"/>
        <w:gridCol w:w="1608"/>
        <w:gridCol w:w="2085"/>
        <w:gridCol w:w="1804"/>
        <w:gridCol w:w="1999"/>
        <w:gridCol w:w="1718"/>
        <w:gridCol w:w="2342"/>
        <w:gridCol w:w="2391"/>
        <w:gridCol w:w="1278"/>
        <w:gridCol w:w="1993"/>
        <w:gridCol w:w="1682"/>
        <w:gridCol w:w="2171"/>
        <w:gridCol w:w="1425"/>
      </w:tblGrid>
      <w:tr>
        <w:trPr>
          <w:trHeight w:val="607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Interaction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IV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Moderator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DV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Method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IV_Direct_Beta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IV_Direct_T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Mod_Direct_Beta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Mod_Direct_T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Interaction_Beta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Interaction_T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Interaction_CI_Low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Interaction_CI_High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CI_Level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CI_Method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T_Significant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CI_Excludes_Zero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Significant</w:t>
            </w:r>
          </w:p>
        </w:tc>
      </w:tr>
      <w:tr>
        <w:trPr>
          <w:trHeight w:val="593" w:hRule="auto"/>
        </w:trPr>
        body1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 * TC → AQ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TC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manual_two_stage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0.409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8.913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0.040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1.347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0.051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2.114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-0.007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0.092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95%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percentile bootstrap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</w:tr>
      <w:tr>
        <w:trPr>
          <w:trHeight w:val="593" w:hRule="auto"/>
        </w:trPr>
        body2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 * ETH → AQ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ETH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manual_two_stage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0.409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8.913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0.443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9.494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-0.056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-2.942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-0.090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-0.012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95%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percentile bootstrap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360" w:hRule="auto"/>
        </w:trPr>
        footer1
        <w:tc>
          <w:tcPr>
            <w:gridSpan w:val="18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Two-stage approach (Hair et al., 2022). Significant = |t| &gt;= 1.96 AND bootstrap CI excludes 0.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2026-02-13T20:13:59Z</dcterms:modified>
  <cp:category/>
</cp:coreProperties>
</file>