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Construct Reliability &amp; Convergent Validity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2122"/>
        <w:gridCol w:w="1010"/>
        <w:gridCol w:w="861"/>
        <w:gridCol w:w="875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Cronbachs_Alpha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rho_A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0.759</w:t>
            </w:r>
          </w:p>
        </w:tc>
      </w:tr>
      <w:tr>
        <w:trPr>
          <w:trHeight w:val="549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0.587</w:t>
            </w:r>
          </w:p>
        </w:tc>
      </w:tr>
      <w:tr>
        <w:trPr>
          <w:trHeight w:val="549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0.741</w:t>
            </w:r>
          </w:p>
        </w:tc>
      </w:tr>
      <w:tr>
        <w:trPr>
          <w:trHeight w:val="549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0.718</w:t>
            </w:r>
          </w:p>
        </w:tc>
      </w:tr>
      <w:tr>
        <w:trPr>
          <w:trHeight w:val="549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0.778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Alpha/rho_A/CR: [0.70, 0.95]; AVE &gt;= 0.50 (Hair et al., 2022)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2026-02-13T20:13:57Z</dcterms:modified>
  <cp:category/>
</cp:coreProperties>
</file>