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387B9DB" w14:textId="77777777" w:rsidR="006C2B7D" w:rsidRDefault="00000000">
      <w:r>
        <w:t>A Computational Framework for Leveraging Population-level Data to Explore Humanitarian and Justice-oriented Perspectives</w:t>
      </w:r>
    </w:p>
    <w:p w14:paraId="38F20783" w14:textId="77777777" w:rsidR="006C2B7D" w:rsidRDefault="00000000">
      <w:pPr>
        <w:pStyle w:val="Author"/>
      </w:pPr>
      <w:r>
        <w:t>Nathan Alexander and Hye Ryeon Jang</w:t>
      </w:r>
    </w:p>
    <w:p w14:paraId="3816F74B" w14:textId="77777777" w:rsidR="006C2B7D" w:rsidRDefault="00000000">
      <w:pPr>
        <w:pStyle w:val="Author"/>
      </w:pPr>
      <w:hyperlink r:id="rId7">
        <w:r>
          <w:rPr>
            <w:rStyle w:val="Hyperlink"/>
          </w:rPr>
          <w:t>nathan.alexander@howard.edu</w:t>
        </w:r>
      </w:hyperlink>
      <w:r>
        <w:t xml:space="preserve">, </w:t>
      </w:r>
      <w:hyperlink r:id="rId8">
        <w:r>
          <w:rPr>
            <w:rStyle w:val="Hyperlink"/>
          </w:rPr>
          <w:t>hyeryeon.jang@morehouse.edu</w:t>
        </w:r>
      </w:hyperlink>
    </w:p>
    <w:p w14:paraId="367FF221" w14:textId="77777777" w:rsidR="000662D6" w:rsidRDefault="000662D6" w:rsidP="000662D6"/>
    <w:p w14:paraId="62773C76" w14:textId="453C766F" w:rsidR="000662D6" w:rsidRPr="000662D6" w:rsidRDefault="000662D6" w:rsidP="000662D6">
      <w:pPr>
        <w:sectPr w:rsidR="000662D6" w:rsidRPr="000662D6" w:rsidSect="001A3B3D">
          <w:pgSz w:w="12240" w:h="15840" w:code="1"/>
          <w:pgMar w:top="1080" w:right="893" w:bottom="1440" w:left="893" w:header="720" w:footer="720" w:gutter="0"/>
          <w:cols w:space="720"/>
          <w:titlePg/>
          <w:docGrid w:linePitch="360"/>
        </w:sectPr>
      </w:pPr>
    </w:p>
    <w:p w14:paraId="4E2A4154" w14:textId="77777777" w:rsidR="006C2B7D" w:rsidRDefault="00000000" w:rsidP="000662D6">
      <w:pPr>
        <w:jc w:val="both"/>
      </w:pPr>
      <w:r>
        <w:rPr>
          <w:b/>
          <w:bCs/>
          <w:i/>
          <w:iCs/>
        </w:rPr>
        <w:t>Abstract</w:t>
      </w:r>
      <w:r>
        <w:rPr>
          <w:b/>
          <w:bCs/>
        </w:rPr>
        <w:t>—While data-driven decision-making has become a gold standard in most industry settings, there is a differential availability of large-scale data addressing various humanitarian issues and injustices across the globe. By integrating database development and conceptual reviews, computational practices can be situated within a framework that enables a nuanced analysis of demographic trends, disparities, and their implications on various societal dimensions based on theoretical or conceptual constructs. This study focuses on two cohorts of undergraduate students who engaged in population-level data computational practices and software development. Computational practices included ideation and the quantification of information. Software development included the further development and execution of code, functions, and larger programs. The interconnected framework and data sources demonstrate that a globally-situated perspective can be generated to not only improve statistical literacy but the development of critical analytic skills which foster increased attention to the related but different goals of humanitarian and justice-oriented perspectives.</w:t>
      </w:r>
    </w:p>
    <w:p w14:paraId="461902CA" w14:textId="77777777" w:rsidR="006C2B7D" w:rsidRDefault="00000000">
      <w:pPr>
        <w:pStyle w:val="BodyText"/>
      </w:pPr>
      <w:r>
        <w:rPr>
          <w:b/>
          <w:bCs/>
        </w:rPr>
        <w:t>{</w:t>
      </w:r>
      <w:r>
        <w:rPr>
          <w:b/>
          <w:bCs/>
          <w:i/>
          <w:iCs/>
        </w:rPr>
        <w:t>Keywords: census, data, literacy, population, statistics</w:t>
      </w:r>
      <w:r>
        <w:rPr>
          <w:b/>
          <w:bCs/>
        </w:rPr>
        <w:t>}</w:t>
      </w:r>
    </w:p>
    <w:p w14:paraId="488CDFF7" w14:textId="77777777" w:rsidR="006C2B7D" w:rsidRDefault="00000000">
      <w:pPr>
        <w:pStyle w:val="Heading1"/>
      </w:pPr>
      <w:bookmarkStart w:id="0" w:name="introduction"/>
      <w:r>
        <w:t>Introduction</w:t>
      </w:r>
    </w:p>
    <w:p w14:paraId="5F78E5BD" w14:textId="77777777" w:rsidR="006C2B7D" w:rsidRDefault="00000000" w:rsidP="000662D6">
      <w:pPr>
        <w:jc w:val="both"/>
      </w:pPr>
      <w:r>
        <w:t>Expanding discourses around data science and computational data analysis have increased the use of data as an instructional aide in k-12 settings. These increases have resulted in the availability of new data sources at the global, national, and state levels. Despite these advances, however, less work has been done to support the development and implementation of data science educational practices that take into account local and geographically specific contexts | with some key exceptions. For example, one exception is the increase of public websites (e.g., CoDaP, MapCorps) that support the integration and use of localized data.</w:t>
      </w:r>
    </w:p>
    <w:p w14:paraId="3C1269CA" w14:textId="77777777" w:rsidR="006C2B7D" w:rsidRDefault="00000000">
      <w:pPr>
        <w:pStyle w:val="BodyText"/>
      </w:pPr>
      <w:r>
        <w:t>Although data science has long been a practice among industry experts and government leaders, only recently | over the last decade | have higher education institutions and k-12 educators become fully engaged in the various components of the data cycle. This engagement has come largely as a result of the impactful and interdisciplinary learning opportunities afforded by data science. The use of geographically specific data has the potential to provide culturally relevant and responsive learning opportunities and to improve student engagement with computation and critical thinking.</w:t>
      </w:r>
    </w:p>
    <w:p w14:paraId="297133F7" w14:textId="77777777" w:rsidR="006C2B7D" w:rsidRDefault="00000000">
      <w:pPr>
        <w:pStyle w:val="BodyText"/>
      </w:pPr>
      <w:r>
        <w:t xml:space="preserve">However, educators, especially those in k-12 settings, often face difficulties at various points along the data cycle. For example, teachers may struggle to find local data or the time needed to collect and clean data. When data is provided or </w:t>
      </w:r>
      <w:r>
        <w:t>cleaned, teachers may lack the necessary capacities or skills, have less understanding of the various data tools, or a lowered identification and/or self-efficacy with data needed to advance student learning. Although there is an increase in available data sources, these data are sometimes not relevant or out of range to be fully embraced by educators. Broadly speaking, there is a lack of culturally and geographically specific data sources. As a result, more opportunities need to be developed that allow teachers with the community and time needed to design, develop, and implement geographically specific learning modules that make use of local data.</w:t>
      </w:r>
    </w:p>
    <w:p w14:paraId="76E34C71" w14:textId="77777777" w:rsidR="006C2B7D" w:rsidRDefault="00000000">
      <w:pPr>
        <w:pStyle w:val="BodyText"/>
      </w:pPr>
      <w:r>
        <w:t>The purpose of this project is to expand teachers’ knowledge around data science concepts and processes as a means to improve their comfortability with the data cycle. As a result, teachers will be more likely to implement and publicize in-progress work around the development of modules that use local data. These opportunities can also be used to expand teachers’ leadership opportunities. For example, as teachers improve their knowledge and comfortability around the use of data and the data cycle, they can be come local ambassadors to help expand interdisciplinary learning opportunities among other local educators. Namely, this project has the ability to support the development of extensive local networks that can expand teachers’ willingness to use local data to improve student learning and achievement. To that end, this project will have the following goals and related activities:</w:t>
      </w:r>
    </w:p>
    <w:p w14:paraId="08F8705C" w14:textId="77777777" w:rsidR="006C2B7D" w:rsidRDefault="00000000">
      <w:pPr>
        <w:pStyle w:val="Heading2"/>
      </w:pPr>
      <w:bookmarkStart w:id="1" w:name="project-background"/>
      <w:r>
        <w:t>Project background</w:t>
      </w:r>
    </w:p>
    <w:p w14:paraId="3DFB1CB7" w14:textId="77777777" w:rsidR="006C2B7D" w:rsidRDefault="00000000" w:rsidP="000662D6">
      <w:pPr>
        <w:jc w:val="both"/>
      </w:pPr>
      <w:r>
        <w:t>The primary objectives of our work has focused on the development of a strong theoretical foundation to support data science programming that will seek to engage with and support local and global communities. As a new program with fewer resources, this work has included a series of short-term focused activities. Specifically, we have developed a problem-based active learning framework for data science (goal 1), established a community data fellowship ecosystem (goal 2), and identified an initial cohort of community data fellows (goal 3). Each goal and related activities are outlined in more detail below.</w:t>
      </w:r>
    </w:p>
    <w:p w14:paraId="65896129" w14:textId="77777777" w:rsidR="006C2B7D" w:rsidRDefault="00000000">
      <w:pPr>
        <w:pStyle w:val="BodyText"/>
      </w:pPr>
      <w:r>
        <w:t>This work has also centered on the development and expansion of data science programming that will help students develop methods to engage with and support research on local and national communities. For our mid-program update, this work included a series of short-term activities that resulted in the development of our program - the Morehouse Community Data Fellowship. For this year-end narrative report, we discuss the implementation of our problem-based active learning framework for data science (goal 1), the ongoing development of a community data fellowship ecosystem (goal 2), and the research conducted by our first and second cohorts of community data fellows (goal 3); related activities are outlined in detail below.</w:t>
      </w:r>
    </w:p>
    <w:p w14:paraId="62614313" w14:textId="77777777" w:rsidR="006C2B7D" w:rsidRDefault="00000000">
      <w:pPr>
        <w:pStyle w:val="BodyText"/>
      </w:pPr>
      <w:r>
        <w:lastRenderedPageBreak/>
        <w:t xml:space="preserve">The primary objective of goal 1 for the year was to define a set of curricular goals that would allow us to develop and implement a problem-based active learning (PBAL) framework. Our framework (presented in the mid-year report) was used to engage our first cohort in making sense of experiential learning as it related to data science. As a cohort, our fellows work in collaboration with our faculty to establish various focal points to center our collaborative project. In doing so, we (1) generated a series of </w:t>
      </w:r>
      <m:oMath>
        <m:r>
          <w:rPr>
            <w:rFonts w:ascii="Cambria Math" w:hAnsi="Cambria Math"/>
          </w:rPr>
          <m:t>R</m:t>
        </m:r>
      </m:oMath>
      <w:r>
        <w:t xml:space="preserve"> modules that were developed and reviewed by faculty and (2) centered the white paper plans on a locally-relevant research project focused on policing and public policy.</w:t>
      </w:r>
    </w:p>
    <w:p w14:paraId="4857204B" w14:textId="77777777" w:rsidR="006C2B7D" w:rsidRDefault="00000000">
      <w:pPr>
        <w:pStyle w:val="BodyText"/>
      </w:pPr>
      <w:r>
        <w:t>The ecosystem and network of supports to develop our program was extended upon as a result of goal 2. As noted previously, this support network includes a set of faculty program advisors, community members, and partnering organizations. Our advisory board continued to engage fellows with their research and individual programs, as well as reviewing program materials. Despite our plans to engage local communities more, students decided to focus on the development of a project that would respond to community needs. This project will not be leveraged to engage a host of local college-based and community organizations, as well as city offices and potential partners.</w:t>
      </w:r>
    </w:p>
    <w:p w14:paraId="517EC8C4" w14:textId="77777777" w:rsidR="006C2B7D" w:rsidRDefault="00000000">
      <w:pPr>
        <w:pStyle w:val="BodyText"/>
      </w:pPr>
      <w:r>
        <w:t>Objective 3 was focused on the development of fellows and partners. Our initial cohort of eight (8) fellows completed their first semester of projects. Moreover, we identified a new set of six (6) fellows for the 2023-2024 Academic Year. Specifically, we held a series of short conversations and informational interviews, and we gathered application materials from these fellows. Some fellows from our first cohort returned for a second year. Two fellows also spent the summer at the University of Chicago Summer CAN Institute. We also have an updated list of new and potential partners both internal and external to the College.</w:t>
      </w:r>
    </w:p>
    <w:p w14:paraId="07E8FA26" w14:textId="77777777" w:rsidR="006C2B7D" w:rsidRDefault="00000000">
      <w:pPr>
        <w:pStyle w:val="BodyText"/>
      </w:pPr>
      <w:r>
        <w:t>There have been multiple achievements with our work this year. These include the implementation of a college-wide data science practice to support students’ active skill development through the use of real-world problems and (some) simulated scenarios in the form of case studies. Rather than focus on too many simulated scenarios, students engaged in real-world data collection and analysis.</w:t>
      </w:r>
    </w:p>
    <w:p w14:paraId="0FD12959" w14:textId="77777777" w:rsidR="006C2B7D" w:rsidRDefault="00000000">
      <w:pPr>
        <w:pStyle w:val="Heading3"/>
      </w:pPr>
      <w:bookmarkStart w:id="2" w:name="X3a6f4292e8eaee4d6a13daf8a433635d8a81fbd"/>
      <w:r>
        <w:t>Humanitarian lens: Examining the United States of America on a global scale</w:t>
      </w:r>
    </w:p>
    <w:p w14:paraId="662BEEE1" w14:textId="77777777" w:rsidR="006C2B7D" w:rsidRDefault="00000000">
      <w:pPr>
        <w:pStyle w:val="Heading3"/>
      </w:pPr>
      <w:bookmarkStart w:id="3" w:name="X6b88b052ab7cddb1d0adc955ac6556addf07c3d"/>
      <w:bookmarkEnd w:id="2"/>
      <w:r>
        <w:t>Justice-oriented lens: Examining United States of America’s laws, policies and practices</w:t>
      </w:r>
    </w:p>
    <w:p w14:paraId="3E782CBE" w14:textId="77777777" w:rsidR="006C2B7D" w:rsidRDefault="00000000">
      <w:pPr>
        <w:pStyle w:val="Heading1"/>
      </w:pPr>
      <w:bookmarkStart w:id="4" w:name="conceptual-framework"/>
      <w:bookmarkEnd w:id="0"/>
      <w:bookmarkEnd w:id="1"/>
      <w:bookmarkEnd w:id="3"/>
      <w:r>
        <w:t>Conceptual Framework</w:t>
      </w:r>
    </w:p>
    <w:p w14:paraId="23594A4B" w14:textId="77777777" w:rsidR="006C2B7D" w:rsidRDefault="00000000">
      <w:r>
        <w:t>As Traoré (2017) discusses, there is a need to expand on this idea.</w:t>
      </w:r>
    </w:p>
    <w:p w14:paraId="3383EDD9" w14:textId="77777777" w:rsidR="006C2B7D" w:rsidRDefault="00000000">
      <w:r>
        <w:rPr>
          <w:noProof/>
        </w:rPr>
        <w:drawing>
          <wp:inline distT="0" distB="0" distL="0" distR="0" wp14:anchorId="397603DC" wp14:editId="7F7EEF34">
            <wp:extent cx="1600200" cy="1253725"/>
            <wp:effectExtent l="0" t="0" r="0" b="0"/>
            <wp:docPr id="27" name="Picture" descr="Traore’s (2017) computational systems components"/>
            <wp:cNvGraphicFramePr/>
            <a:graphic xmlns:a="http://schemas.openxmlformats.org/drawingml/2006/main">
              <a:graphicData uri="http://schemas.openxmlformats.org/drawingml/2006/picture">
                <pic:pic xmlns:pic="http://schemas.openxmlformats.org/drawingml/2006/picture">
                  <pic:nvPicPr>
                    <pic:cNvPr id="28" name="Picture" descr="img/study-framework.jpg"/>
                    <pic:cNvPicPr>
                      <a:picLocks noChangeAspect="1" noChangeArrowheads="1"/>
                    </pic:cNvPicPr>
                  </pic:nvPicPr>
                  <pic:blipFill>
                    <a:blip r:embed="rId9"/>
                    <a:stretch>
                      <a:fillRect/>
                    </a:stretch>
                  </pic:blipFill>
                  <pic:spPr bwMode="auto">
                    <a:xfrm>
                      <a:off x="0" y="0"/>
                      <a:ext cx="1600200" cy="1253725"/>
                    </a:xfrm>
                    <a:prstGeom prst="rect">
                      <a:avLst/>
                    </a:prstGeom>
                    <a:noFill/>
                    <a:ln w="9525">
                      <a:noFill/>
                      <a:headEnd/>
                      <a:tailEnd/>
                    </a:ln>
                  </pic:spPr>
                </pic:pic>
              </a:graphicData>
            </a:graphic>
          </wp:inline>
        </w:drawing>
      </w:r>
    </w:p>
    <w:p w14:paraId="67486610" w14:textId="77777777" w:rsidR="006C2B7D" w:rsidRDefault="00000000">
      <w:r>
        <w:t>Traore’s (2017) computational systems components</w:t>
      </w:r>
    </w:p>
    <w:p w14:paraId="5F80518C" w14:textId="77777777" w:rsidR="006C2B7D" w:rsidRDefault="00000000">
      <w:pPr>
        <w:pStyle w:val="Heading1"/>
      </w:pPr>
      <w:bookmarkStart w:id="5" w:name="data-sets-and-databases"/>
      <w:bookmarkEnd w:id="4"/>
      <w:r>
        <w:t>Data sets and Databases</w:t>
      </w:r>
    </w:p>
    <w:p w14:paraId="58C54A9D" w14:textId="77777777" w:rsidR="006C2B7D" w:rsidRDefault="00000000">
      <w:r>
        <w:rPr>
          <w:b/>
          <w:bCs/>
        </w:rPr>
        <w:t>Washington Post Fatal Force Database</w:t>
      </w:r>
      <w:r>
        <w:t>. Fatal interactions in the United States.</w:t>
      </w:r>
    </w:p>
    <w:p w14:paraId="23CC5250" w14:textId="77777777" w:rsidR="006C2B7D" w:rsidRDefault="00000000">
      <w:pPr>
        <w:pStyle w:val="BodyText"/>
      </w:pPr>
      <w:r>
        <w:rPr>
          <w:b/>
          <w:bCs/>
        </w:rPr>
        <w:t>United States Census Data</w:t>
      </w:r>
      <w:r>
        <w:t>. Population-level estimates.</w:t>
      </w:r>
    </w:p>
    <w:p w14:paraId="707E8267" w14:textId="77777777" w:rsidR="006C2B7D" w:rsidRDefault="00000000">
      <w:pPr>
        <w:pStyle w:val="BodyText"/>
      </w:pPr>
      <w:r>
        <w:rPr>
          <w:b/>
          <w:bCs/>
        </w:rPr>
        <w:t>United Nations Data</w:t>
      </w:r>
      <w:r>
        <w:t>. Fatal interactions globally.</w:t>
      </w:r>
    </w:p>
    <w:p w14:paraId="405DA43A" w14:textId="77777777" w:rsidR="006C2B7D" w:rsidRDefault="00000000">
      <w:pPr>
        <w:pStyle w:val="BodyText"/>
      </w:pPr>
      <w:r>
        <w:rPr>
          <w:b/>
          <w:bCs/>
        </w:rPr>
        <w:t>Original Database</w:t>
      </w:r>
      <w:r>
        <w:t>. Various historical and systems factors (e.g., confederate).</w:t>
      </w:r>
    </w:p>
    <w:p w14:paraId="637213D1" w14:textId="77777777" w:rsidR="006C2B7D" w:rsidRDefault="00000000">
      <w:pPr>
        <w:pStyle w:val="Heading1"/>
      </w:pPr>
      <w:bookmarkStart w:id="6" w:name="research-methodologies"/>
      <w:bookmarkEnd w:id="5"/>
      <w:r>
        <w:t>Research Methodologies</w:t>
      </w:r>
    </w:p>
    <w:p w14:paraId="2A6F3575" w14:textId="77777777" w:rsidR="006C2B7D" w:rsidRDefault="00000000" w:rsidP="000662D6">
      <w:pPr>
        <w:jc w:val="both"/>
      </w:pPr>
      <w:r>
        <w:t>Two core components informed the developmental methodology for the framework: (i) the context, input, process, product (CIPP) model as described by Stufflebeam , which was used to support the framework’s overarching inputs and outputs in a classroom context and (ii) a mixed-methods assessment of data use in a software program. The software programs used for the development of the framework and case studies were the R/Posit software (cloud and desktop versions) and QuartoPub. \</w:t>
      </w:r>
    </w:p>
    <w:p w14:paraId="07629F00" w14:textId="77777777" w:rsidR="006C2B7D" w:rsidRDefault="00000000">
      <w:pPr>
        <w:pStyle w:val="BodyText"/>
      </w:pPr>
      <w:r>
        <w:t>Learning objective 1: Learning objective 2: Learning objective 3: Learning objective 4: Cleaning data for analysis and visualization Computing and reporting statistical analyses Visualizing data Communicating and storytelling with data</w:t>
      </w:r>
    </w:p>
    <w:p w14:paraId="6D7A8024" w14:textId="77777777" w:rsidR="006C2B7D" w:rsidRDefault="00000000">
      <w:pPr>
        <w:pStyle w:val="Heading1"/>
      </w:pPr>
      <w:bookmarkStart w:id="7" w:name="outcomes"/>
      <w:bookmarkEnd w:id="6"/>
      <w:r>
        <w:t>Outcomes</w:t>
      </w:r>
    </w:p>
    <w:p w14:paraId="0F92C750" w14:textId="77777777" w:rsidR="006C2B7D" w:rsidRDefault="00000000">
      <w:r>
        <w:t>This project supported two primary outcomes: (1) the initial developmental outline of a framework to support students’ active skill development through the use of real-world problems and simulated scenarios in the form of case studies and (2) a sample case study in which students engage in learning about the foundations of data use and ethics. In this way, the framework was able to integrate problem-based learning (or PBL) and active learning (or AL) to generate a dynamic learning environment for both teachers and student. A pilot of the framework and case study was implemented in an introductory statistics course at Morehouse College. The nature of these activities provides authentic engagement with course material that also supported focused interactions between peers (student-to-student interactions) as well as students and faculty.</w:t>
      </w:r>
    </w:p>
    <w:p w14:paraId="0CF500A3" w14:textId="77777777" w:rsidR="006C2B7D" w:rsidRDefault="00000000">
      <w:pPr>
        <w:pStyle w:val="Heading2"/>
      </w:pPr>
      <w:bookmarkStart w:id="8" w:name="computational-frameworks"/>
      <w:r>
        <w:t>Computational Frameworks</w:t>
      </w:r>
    </w:p>
    <w:p w14:paraId="2E262603" w14:textId="77777777" w:rsidR="006C2B7D" w:rsidRDefault="00000000">
      <w:r>
        <w:rPr>
          <w:b/>
          <w:bCs/>
        </w:rPr>
        <w:t>Defining a relational schema for highly contextualized data</w:t>
      </w:r>
      <w:r>
        <w:t xml:space="preserve">. The study of information is a complex enterprise. Information theory is often used to frame and understand the function of new information obtained through computational models, but it is based on interpretability in a philosophical domain or social context. Cur- rently, a set of classification models are the neighborhood counting methods (e.g., k-nearest neighbor, decision trees) used to generate similarity indices. There are typically two types of learners in classification: “lazy” learners and “eager” learners. Lazy learners store informa- tion and match data to the most related data in a training set while eager learners construct a classification model prior to receiving data for classification. Here, various interpretations of probability meet computational methods </w:t>
      </w:r>
      <w:r>
        <w:lastRenderedPageBreak/>
        <w:t>under the “hood” of what is commonly known as Machine Learning Classifiers. The core objective of specific aim 4 is to similarly examine the study and formulation of contextual probabilities and mass functions for computational methodologies. Despite the ability of modern interpretations to generalize the axioms of probability, as described by [39], this class of interpretable functions has not been widely explored and are not well documented in contemporary literature at the intersection of prob- ability theory and computational methodologies. Moreover, the class of functions have not been framed in relation to the theoretical foundations of alternative interpretations.</w:t>
      </w:r>
    </w:p>
    <w:p w14:paraId="088D0ECB" w14:textId="77777777" w:rsidR="006C2B7D" w:rsidRDefault="00000000">
      <w:r>
        <w:rPr>
          <w:noProof/>
        </w:rPr>
        <w:drawing>
          <wp:inline distT="0" distB="0" distL="0" distR="0" wp14:anchorId="43AB8764" wp14:editId="2675D794">
            <wp:extent cx="1600200" cy="437021"/>
            <wp:effectExtent l="0" t="0" r="0" b="0"/>
            <wp:docPr id="33" name="Picture" descr="Computational Framework Relational Modeling Schema"/>
            <wp:cNvGraphicFramePr/>
            <a:graphic xmlns:a="http://schemas.openxmlformats.org/drawingml/2006/main">
              <a:graphicData uri="http://schemas.openxmlformats.org/drawingml/2006/picture">
                <pic:pic xmlns:pic="http://schemas.openxmlformats.org/drawingml/2006/picture">
                  <pic:nvPicPr>
                    <pic:cNvPr id="34" name="Picture" descr="img/comp-framework.png"/>
                    <pic:cNvPicPr>
                      <a:picLocks noChangeAspect="1" noChangeArrowheads="1"/>
                    </pic:cNvPicPr>
                  </pic:nvPicPr>
                  <pic:blipFill>
                    <a:blip r:embed="rId10"/>
                    <a:stretch>
                      <a:fillRect/>
                    </a:stretch>
                  </pic:blipFill>
                  <pic:spPr bwMode="auto">
                    <a:xfrm>
                      <a:off x="0" y="0"/>
                      <a:ext cx="1600200" cy="437021"/>
                    </a:xfrm>
                    <a:prstGeom prst="rect">
                      <a:avLst/>
                    </a:prstGeom>
                    <a:noFill/>
                    <a:ln w="9525">
                      <a:noFill/>
                      <a:headEnd/>
                      <a:tailEnd/>
                    </a:ln>
                  </pic:spPr>
                </pic:pic>
              </a:graphicData>
            </a:graphic>
          </wp:inline>
        </w:drawing>
      </w:r>
    </w:p>
    <w:p w14:paraId="267D4316" w14:textId="77777777" w:rsidR="006C2B7D" w:rsidRDefault="00000000">
      <w:r>
        <w:t>Computational Framework Relational Modeling Schema</w:t>
      </w:r>
    </w:p>
    <w:p w14:paraId="2E836574" w14:textId="77777777" w:rsidR="006C2B7D" w:rsidRDefault="00000000">
      <w:pPr>
        <w:pStyle w:val="BodyText"/>
      </w:pPr>
      <w:r>
        <w:t>As noted in the figure, relational scheme on data and evidence are subject to interpretation via their theoretical foundations. These foundations inform a logic model on the various queries that can be run through data simulations. These logic models are also subject to alternative interpretations that, in turn, can re-engage the relational data modeling process shown above. Overall, these processes and logic models inform a set of queries that are taken in their original context, or in some normalized setting. Altogether, these processes come together to form a relational schema on data use based on the interpretations of information.</w:t>
      </w:r>
    </w:p>
    <w:p w14:paraId="01D7F168" w14:textId="77777777" w:rsidR="006C2B7D" w:rsidRDefault="00000000">
      <w:pPr>
        <w:pStyle w:val="BodyText"/>
      </w:pPr>
      <w:r>
        <w:t>Specific goals for this aim are to explore the theoretical foundations of two interpretations used to generalize the classical probability function, and to explore modern computational methodologies in relation to real-time simulations in the development of relational perspec- tives. The study of mass functions to generalize contextual probabilities will specifically help advance knowledge around foundational components in the study of the mathematics of data science.</w:t>
      </w:r>
    </w:p>
    <w:p w14:paraId="5454C339" w14:textId="77777777" w:rsidR="006C2B7D" w:rsidRDefault="00000000">
      <w:pPr>
        <w:pStyle w:val="Heading2"/>
      </w:pPr>
      <w:bookmarkStart w:id="9" w:name="humanitarian-perspectives"/>
      <w:bookmarkEnd w:id="8"/>
      <w:r>
        <w:t>Humanitarian Perspectives</w:t>
      </w:r>
    </w:p>
    <w:p w14:paraId="52D25480" w14:textId="77777777" w:rsidR="006C2B7D" w:rsidRDefault="00000000">
      <w:pPr>
        <w:pStyle w:val="Heading2"/>
      </w:pPr>
      <w:bookmarkStart w:id="10" w:name="justice-oriented-perspectives"/>
      <w:bookmarkEnd w:id="9"/>
      <w:r>
        <w:t>Justice-oriented Perspectives</w:t>
      </w:r>
    </w:p>
    <w:p w14:paraId="6A008777" w14:textId="77777777" w:rsidR="006C2B7D" w:rsidRDefault="00000000">
      <w:pPr>
        <w:pStyle w:val="Heading2"/>
      </w:pPr>
      <w:bookmarkStart w:id="11" w:name="intersections"/>
      <w:bookmarkEnd w:id="10"/>
      <w:r>
        <w:t>Intersections</w:t>
      </w:r>
    </w:p>
    <w:p w14:paraId="3159DFAF" w14:textId="77777777" w:rsidR="006C2B7D" w:rsidRDefault="00000000">
      <w:r>
        <w:t>The CIPP model used by the PI considered the contexts, inputs and processes, as well as any final products or outcomes (e.g., shifts in students’ data skills) resulting from various classroom activities informed by the framework. The CIPP model can be used to both frame and assess, respectively, the overarching goals and core outcomes of a PBAL environment.</w:t>
      </w:r>
    </w:p>
    <w:p w14:paraId="5FE7154A" w14:textId="77777777" w:rsidR="006C2B7D" w:rsidRDefault="00000000">
      <w:pPr>
        <w:pStyle w:val="Heading1"/>
      </w:pPr>
      <w:bookmarkStart w:id="12" w:name="pedagogy"/>
      <w:bookmarkEnd w:id="7"/>
      <w:bookmarkEnd w:id="11"/>
      <w:r>
        <w:t>Pedagogy</w:t>
      </w:r>
    </w:p>
    <w:p w14:paraId="3F28941F" w14:textId="77777777" w:rsidR="006C2B7D" w:rsidRDefault="00000000">
      <w:r>
        <w:t>A primary objective of this project was to outline a PBAL framework that would inform course materials around a series of case studies to advance student learning through problem-based inquiries in a dynamic classroom setting. Project objectives were accomplished by outlining learning activities that would result in a series of draft materials for a PBAL in data science course.</w:t>
      </w:r>
    </w:p>
    <w:p w14:paraId="12C733BE" w14:textId="77777777" w:rsidR="006C2B7D" w:rsidRDefault="00000000">
      <w:pPr>
        <w:pStyle w:val="BodyText"/>
      </w:pPr>
      <w:r>
        <w:t xml:space="preserve">This project supported the initial development of a curriculum framework for problem-based active learning (PBAL) in data science to inform the future development of case </w:t>
      </w:r>
      <w:r>
        <w:t>studies, course materials, and an instructor guide. PBAL is an effective but underutilized practice in traditional data science and statistical data analysis courses. Problem-based learning (or PBL) is a student-centered approach where students work in groups and respond to open-ended questions. Active learning (or AL) uses instructional methods to engage students in a variety of learning exercises – such as case studies, experiential learning trips, gallery walks, role plays, etc. PBAL intentionally intersects PBL and AL and the result is a dynamic learning praxis. One effective way to initiate PBAL, especially in traditional lecture-based courses, is through the use of case studies. As a result, . These interactions generate experiential learning opportunities that support an active classroom environment that centers on peer learning, mutual respect and, most importantly, mirrors real-world professional settings that use data to draw conclusions and advance project work. In the PBAL framework, case studies support students’ familiarity with data wrangling, coding, and analysis, while also providing formative assessment rubrics for faculty to understand student learning. Specifically, the PBAL framework and case studies support learning for: (1) cleaning data for analysis and visualization, (2) computing and reporting statistical analyses, (3) visualizing data, and (4) communicating and storytelling with data.</w:t>
      </w:r>
    </w:p>
    <w:p w14:paraId="7F18C8A0" w14:textId="77777777" w:rsidR="006C2B7D" w:rsidRDefault="00000000">
      <w:pPr>
        <w:pStyle w:val="BodyText"/>
      </w:pPr>
      <w:r>
        <w:t>Problem-based active learning (PBAL) intersects problem-based learning, or PBL, a student-centered approach where students work in groups and respond to open-ended questions; and active learning, or AL, which uses instructional methods to engage students in course material through a variety of pedagogical practices – such as case studies, experiential learning trips, gallery walks, role plays, and the like. The result is a dynamic learning praxis. This three-pronged PBAL framework considers: (1) an historically ``grounding” activity using a case study, (2) repetitive learning objectives focused on data analysis, and (3) active learning rooted in various action orientations.</w:t>
      </w:r>
    </w:p>
    <w:p w14:paraId="74D5A2B3" w14:textId="77777777" w:rsidR="006C2B7D" w:rsidRDefault="00000000">
      <w:pPr>
        <w:pStyle w:val="BodyText"/>
      </w:pPr>
      <w:r>
        <w:t xml:space="preserve">Problem-based active learning (PBAL) is an effective but underutilized practice in traditional data science and statistical data analysis courses. Problem-based learning, or PBL, is a student-centered approach where students work in groups and respond to open-ended questions; active learning, or AL, uses instructional methods to engage students in course material through a variety of pedagogical practices – such as case studies, experiential learning trips, gallery walks, role plays, and the like. PBAL intentionally intersects PBL and AL; the result is a dynamic learning praxis. One effective way to initiate PBAL, especially in traditional lecture-based courses, is through the use of case studies. In this way, each case study can be combined with other features, such as presentations, field-trips, open feedback, and discussions on any work in progress. Case studies help to integrate problem solving practices that allow learners to make sense of and respond to real-life situations or simulated scenarios. Experiential learning, short presentations, and components such as large-group feedback, support an active classroom that centers peer learning and mutual respect. This project will support the initial development of a curriculum outline for PBAL in data science through the development of case studies and course materials. Each case will support students’ familiarity with data wrangling, coding, and analysis, </w:t>
      </w:r>
      <w:r>
        <w:lastRenderedPageBreak/>
        <w:t>while also providing formative assessment rubrics for faculty to understand student learning. Specifically, case studies will support students in: (1) cleaning data for analysis and visualization, (2) computing and reporting statistical analyses, (3) visualizing data, and (4) communicating and storytelling with data.</w:t>
      </w:r>
    </w:p>
    <w:p w14:paraId="42CFA18A" w14:textId="77777777" w:rsidR="006C2B7D" w:rsidRDefault="00000000">
      <w:pPr>
        <w:pStyle w:val="Heading1"/>
      </w:pPr>
      <w:bookmarkStart w:id="13" w:name="discussion-and-conclusion"/>
      <w:bookmarkEnd w:id="12"/>
      <w:r>
        <w:t>Discussion and Conclusion</w:t>
      </w:r>
    </w:p>
    <w:p w14:paraId="3275165B" w14:textId="77777777" w:rsidR="006C2B7D" w:rsidRDefault="00000000">
      <w:r>
        <w:t>While the above products/results have yet to be disseminated, the research project met its primary goals of outlining a PBAL framework for data science and completing a guiding case study to inform future cases. The PI is currently in the process of developing substantive text to guide the development of activities for an entire semester-long course in context-based statistics that will make use of the framework. These materials will contain a series of case studies to guide students’ through introductory statistics with a focus on modern data science in Posit/R/RStudio Cloud. Furthermore, a list of research-oriented references is included below which will continued to be used to further develop the PBAL Framework for Data Science.</w:t>
      </w:r>
    </w:p>
    <w:p w14:paraId="50E77820" w14:textId="77777777" w:rsidR="006C2B7D" w:rsidRDefault="00000000">
      <w:pPr>
        <w:pStyle w:val="Heading1"/>
      </w:pPr>
      <w:bookmarkStart w:id="14" w:name="references"/>
      <w:bookmarkEnd w:id="13"/>
      <w:r>
        <w:t>References</w:t>
      </w:r>
    </w:p>
    <w:p w14:paraId="5AF84003" w14:textId="77777777" w:rsidR="006C2B7D" w:rsidRDefault="00000000">
      <w:r>
        <w:t xml:space="preserve"> Radinsky, J., Milz, D., Zellner, M., Pudlock, K., Witek, C., Hoch, C., &amp; Lyons, L. (2017) How planners and stakeholders learn with visualization tools: Using learning sciences methods to examine planning processes. , 60:7, 1296-1323.</w:t>
      </w:r>
    </w:p>
    <w:p w14:paraId="00BC8B82" w14:textId="77777777" w:rsidR="006C2B7D" w:rsidRDefault="00000000">
      <w:pPr>
        <w:pStyle w:val="BodyText"/>
      </w:pPr>
      <w:r>
        <w:t xml:space="preserve"> Simpson, A. (2016) Designing pedagogic strategies for dialogic learning in higher education. , 25:2, 135-151.</w:t>
      </w:r>
    </w:p>
    <w:p w14:paraId="5C40BA97" w14:textId="77777777" w:rsidR="006C2B7D" w:rsidRDefault="00000000">
      <w:pPr>
        <w:pStyle w:val="BodyText"/>
      </w:pPr>
      <w:r>
        <w:t xml:space="preserve"> Stufflebeam, D. L. (2004). The 21st century CIPP model. Origins, development and use. In Alkin, M. C. (ed.) Evaluation Roots: Tracing Theorists’ Views and Influences, pp. 245–266. Thousand Oaks, CA: Sage.</w:t>
      </w:r>
    </w:p>
    <w:p w14:paraId="3A430DD2" w14:textId="77777777" w:rsidR="006C2B7D" w:rsidRDefault="00000000">
      <w:bookmarkStart w:id="15" w:name="ref-traore2017introduction"/>
      <w:bookmarkStart w:id="16" w:name="refs"/>
      <w:r>
        <w:t xml:space="preserve">Traoré, Mamadou Kaba. 2017. “Introduction to Computational Frameworks: From Heterogeneity Challenge to Integrative Levels of Organization.” </w:t>
      </w:r>
      <w:r>
        <w:rPr>
          <w:i/>
          <w:iCs/>
        </w:rPr>
        <w:t>Computational Frameworks–Systems, Models and Applications</w:t>
      </w:r>
      <w:r>
        <w:t>, ix–xxi.</w:t>
      </w:r>
      <w:bookmarkEnd w:id="14"/>
      <w:bookmarkEnd w:id="15"/>
      <w:bookmarkEnd w:id="16"/>
    </w:p>
    <w:sectPr w:rsidR="006C2B7D" w:rsidSect="000662D6">
      <w:type w:val="continuous"/>
      <w:pgSz w:w="12240" w:h="15840" w:code="1"/>
      <w:pgMar w:top="1080" w:right="893" w:bottom="1440" w:left="893" w:header="720" w:footer="720" w:gutter="0"/>
      <w:cols w:num="2" w:space="36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4BA96DE" w14:textId="77777777" w:rsidR="000C032F" w:rsidRDefault="000C032F">
      <w:r>
        <w:separator/>
      </w:r>
    </w:p>
  </w:endnote>
  <w:endnote w:type="continuationSeparator" w:id="0">
    <w:p w14:paraId="65A62CAA" w14:textId="77777777" w:rsidR="000C032F" w:rsidRDefault="000C03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92C4D0B" w14:textId="77777777" w:rsidR="000C032F" w:rsidRDefault="000C032F">
      <w:r>
        <w:separator/>
      </w:r>
    </w:p>
  </w:footnote>
  <w:footnote w:type="continuationSeparator" w:id="0">
    <w:p w14:paraId="32F50685" w14:textId="77777777" w:rsidR="000C032F" w:rsidRDefault="000C032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629BE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2648E1C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9D38DB5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632C24E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2268A14"/>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8C0E77F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74639B8"/>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B1ACC408"/>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9E8DF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A847AF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A990"/>
    <w:multiLevelType w:val="multilevel"/>
    <w:tmpl w:val="2F82E146"/>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2"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3"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4"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5"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17"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8"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20"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1"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16cid:durableId="940377641">
    <w:abstractNumId w:val="15"/>
  </w:num>
  <w:num w:numId="2" w16cid:durableId="1397439891">
    <w:abstractNumId w:val="20"/>
  </w:num>
  <w:num w:numId="3" w16cid:durableId="539585121">
    <w:abstractNumId w:val="14"/>
  </w:num>
  <w:num w:numId="4" w16cid:durableId="1505513160">
    <w:abstractNumId w:val="17"/>
  </w:num>
  <w:num w:numId="5" w16cid:durableId="978925957">
    <w:abstractNumId w:val="17"/>
  </w:num>
  <w:num w:numId="6" w16cid:durableId="1721400726">
    <w:abstractNumId w:val="17"/>
  </w:num>
  <w:num w:numId="7" w16cid:durableId="687826470">
    <w:abstractNumId w:val="17"/>
  </w:num>
  <w:num w:numId="8" w16cid:durableId="143812469">
    <w:abstractNumId w:val="19"/>
  </w:num>
  <w:num w:numId="9" w16cid:durableId="1364867722">
    <w:abstractNumId w:val="21"/>
  </w:num>
  <w:num w:numId="10" w16cid:durableId="2029989048">
    <w:abstractNumId w:val="16"/>
  </w:num>
  <w:num w:numId="11" w16cid:durableId="642739898">
    <w:abstractNumId w:val="13"/>
  </w:num>
  <w:num w:numId="12" w16cid:durableId="1272741182">
    <w:abstractNumId w:val="12"/>
  </w:num>
  <w:num w:numId="13" w16cid:durableId="851069540">
    <w:abstractNumId w:val="0"/>
  </w:num>
  <w:num w:numId="14" w16cid:durableId="529344390">
    <w:abstractNumId w:val="10"/>
  </w:num>
  <w:num w:numId="15" w16cid:durableId="894972538">
    <w:abstractNumId w:val="8"/>
  </w:num>
  <w:num w:numId="16" w16cid:durableId="1023093075">
    <w:abstractNumId w:val="7"/>
  </w:num>
  <w:num w:numId="17" w16cid:durableId="1951620780">
    <w:abstractNumId w:val="6"/>
  </w:num>
  <w:num w:numId="18" w16cid:durableId="1765606468">
    <w:abstractNumId w:val="5"/>
  </w:num>
  <w:num w:numId="19" w16cid:durableId="409623909">
    <w:abstractNumId w:val="9"/>
  </w:num>
  <w:num w:numId="20" w16cid:durableId="1936084648">
    <w:abstractNumId w:val="4"/>
  </w:num>
  <w:num w:numId="21" w16cid:durableId="146483437">
    <w:abstractNumId w:val="3"/>
  </w:num>
  <w:num w:numId="22" w16cid:durableId="1467505995">
    <w:abstractNumId w:val="2"/>
  </w:num>
  <w:num w:numId="23" w16cid:durableId="1408696933">
    <w:abstractNumId w:val="1"/>
  </w:num>
  <w:num w:numId="24" w16cid:durableId="1366640472">
    <w:abstractNumId w:val="18"/>
  </w:num>
  <w:num w:numId="25" w16cid:durableId="1917282883">
    <w:abstractNumId w:val="19"/>
  </w:num>
  <w:num w:numId="26" w16cid:durableId="212048619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C2B7D"/>
    <w:rsid w:val="000662D6"/>
    <w:rsid w:val="000C032F"/>
    <w:rsid w:val="006C2B7D"/>
    <w:rsid w:val="00ED7A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15A1C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jc w:val="center"/>
    </w:pPr>
  </w:style>
  <w:style w:type="paragraph" w:styleId="Heading1">
    <w:name w:val="heading 1"/>
    <w:basedOn w:val="Normal"/>
    <w:next w:val="Normal"/>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ind w:firstLine="288"/>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8"/>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24"/>
      </w:numPr>
      <w:spacing w:before="60" w:after="30"/>
      <w:ind w:left="58" w:hanging="29"/>
      <w:jc w:val="right"/>
    </w:pPr>
    <w:rPr>
      <w:sz w:val="12"/>
      <w:szCs w:val="12"/>
    </w:rPr>
  </w:style>
  <w:style w:type="paragraph" w:customStyle="1" w:styleId="tablehead">
    <w:name w:val="table head"/>
    <w:pPr>
      <w:numPr>
        <w:numId w:val="9"/>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 w:type="character" w:styleId="Hyperlink">
    <w:name w:val="Hyperlink"/>
    <w:basedOn w:val="DefaultParagraphFont"/>
    <w:rsid w:val="00156B74"/>
    <w:rPr>
      <w:color w:val="0563C1" w:themeColor="hyperlink"/>
      <w:u w:val="single"/>
    </w:rPr>
  </w:style>
  <w:style w:type="character" w:styleId="UnresolvedMention">
    <w:name w:val="Unresolved Mention"/>
    <w:basedOn w:val="DefaultParagraphFont"/>
    <w:uiPriority w:val="99"/>
    <w:semiHidden/>
    <w:unhideWhenUsed/>
    <w:rsid w:val="00156B74"/>
    <w:rPr>
      <w:color w:val="605E5C"/>
      <w:shd w:val="clear" w:color="auto" w:fill="E1DFDD"/>
    </w:rPr>
  </w:style>
  <w:style w:type="paragraph" w:customStyle="1" w:styleId="SourceCode">
    <w:name w:val="Source Code"/>
    <w:basedOn w:val="Normal"/>
    <w:pPr>
      <w:shd w:val="clear" w:color="auto" w:fill="F8F8F8"/>
      <w:wordWrap w:val="0"/>
    </w:pPr>
  </w:style>
  <w:style w:type="character" w:customStyle="1" w:styleId="KeywordTok">
    <w:name w:val="KeywordTok"/>
    <w:rPr>
      <w:b/>
      <w:color w:val="204A87"/>
      <w:shd w:val="clear" w:color="auto" w:fill="F8F8F8"/>
    </w:rPr>
  </w:style>
  <w:style w:type="character" w:customStyle="1" w:styleId="DataTypeTok">
    <w:name w:val="DataTypeTok"/>
    <w:rPr>
      <w:color w:val="204A87"/>
      <w:shd w:val="clear" w:color="auto" w:fill="F8F8F8"/>
    </w:rPr>
  </w:style>
  <w:style w:type="character" w:customStyle="1" w:styleId="DecValTok">
    <w:name w:val="DecValTok"/>
    <w:rPr>
      <w:color w:val="0000CF"/>
      <w:shd w:val="clear" w:color="auto" w:fill="F8F8F8"/>
    </w:rPr>
  </w:style>
  <w:style w:type="character" w:customStyle="1" w:styleId="BaseNTok">
    <w:name w:val="BaseNTok"/>
    <w:rPr>
      <w:color w:val="0000CF"/>
      <w:shd w:val="clear" w:color="auto" w:fill="F8F8F8"/>
    </w:rPr>
  </w:style>
  <w:style w:type="character" w:customStyle="1" w:styleId="FloatTok">
    <w:name w:val="FloatTok"/>
    <w:rPr>
      <w:color w:val="0000CF"/>
      <w:shd w:val="clear" w:color="auto" w:fill="F8F8F8"/>
    </w:rPr>
  </w:style>
  <w:style w:type="character" w:customStyle="1" w:styleId="ConstantTok">
    <w:name w:val="ConstantTok"/>
    <w:rPr>
      <w:color w:val="8F5902"/>
      <w:shd w:val="clear" w:color="auto" w:fill="F8F8F8"/>
    </w:rPr>
  </w:style>
  <w:style w:type="character" w:customStyle="1" w:styleId="CharTok">
    <w:name w:val="CharTok"/>
    <w:rPr>
      <w:color w:val="4E9A06"/>
      <w:shd w:val="clear" w:color="auto" w:fill="F8F8F8"/>
    </w:rPr>
  </w:style>
  <w:style w:type="character" w:customStyle="1" w:styleId="SpecialCharTok">
    <w:name w:val="SpecialCharTok"/>
    <w:rPr>
      <w:b/>
      <w:color w:val="CE5C00"/>
      <w:shd w:val="clear" w:color="auto" w:fill="F8F8F8"/>
    </w:rPr>
  </w:style>
  <w:style w:type="character" w:customStyle="1" w:styleId="StringTok">
    <w:name w:val="StringTok"/>
    <w:rPr>
      <w:color w:val="4E9A06"/>
      <w:shd w:val="clear" w:color="auto" w:fill="F8F8F8"/>
    </w:rPr>
  </w:style>
  <w:style w:type="character" w:customStyle="1" w:styleId="VerbatimStringTok">
    <w:name w:val="VerbatimStringTok"/>
    <w:rPr>
      <w:color w:val="4E9A06"/>
      <w:shd w:val="clear" w:color="auto" w:fill="F8F8F8"/>
    </w:rPr>
  </w:style>
  <w:style w:type="character" w:customStyle="1" w:styleId="SpecialStringTok">
    <w:name w:val="SpecialStringTok"/>
    <w:rPr>
      <w:color w:val="4E9A06"/>
      <w:shd w:val="clear" w:color="auto" w:fill="F8F8F8"/>
    </w:rPr>
  </w:style>
  <w:style w:type="character" w:customStyle="1" w:styleId="ImportTok">
    <w:name w:val="ImportTok"/>
    <w:rPr>
      <w:shd w:val="clear" w:color="auto" w:fill="F8F8F8"/>
    </w:rPr>
  </w:style>
  <w:style w:type="character" w:customStyle="1" w:styleId="CommentTok">
    <w:name w:val="CommentTok"/>
    <w:rPr>
      <w:i/>
      <w:color w:val="8F5902"/>
      <w:shd w:val="clear" w:color="auto" w:fill="F8F8F8"/>
    </w:rPr>
  </w:style>
  <w:style w:type="character" w:customStyle="1" w:styleId="DocumentationTok">
    <w:name w:val="DocumentationTok"/>
    <w:rPr>
      <w:b/>
      <w:i/>
      <w:color w:val="8F5902"/>
      <w:shd w:val="clear" w:color="auto" w:fill="F8F8F8"/>
    </w:rPr>
  </w:style>
  <w:style w:type="character" w:customStyle="1" w:styleId="AnnotationTok">
    <w:name w:val="AnnotationTok"/>
    <w:rPr>
      <w:b/>
      <w:i/>
      <w:color w:val="8F5902"/>
      <w:shd w:val="clear" w:color="auto" w:fill="F8F8F8"/>
    </w:rPr>
  </w:style>
  <w:style w:type="character" w:customStyle="1" w:styleId="CommentVarTok">
    <w:name w:val="CommentVarTok"/>
    <w:rPr>
      <w:b/>
      <w:i/>
      <w:color w:val="8F5902"/>
      <w:shd w:val="clear" w:color="auto" w:fill="F8F8F8"/>
    </w:rPr>
  </w:style>
  <w:style w:type="character" w:customStyle="1" w:styleId="OtherTok">
    <w:name w:val="OtherTok"/>
    <w:rPr>
      <w:color w:val="8F5902"/>
      <w:shd w:val="clear" w:color="auto" w:fill="F8F8F8"/>
    </w:rPr>
  </w:style>
  <w:style w:type="character" w:customStyle="1" w:styleId="FunctionTok">
    <w:name w:val="FunctionTok"/>
    <w:rPr>
      <w:b/>
      <w:color w:val="204A87"/>
      <w:shd w:val="clear" w:color="auto" w:fill="F8F8F8"/>
    </w:rPr>
  </w:style>
  <w:style w:type="character" w:customStyle="1" w:styleId="VariableTok">
    <w:name w:val="VariableTok"/>
    <w:rPr>
      <w:color w:val="000000"/>
      <w:shd w:val="clear" w:color="auto" w:fill="F8F8F8"/>
    </w:rPr>
  </w:style>
  <w:style w:type="character" w:customStyle="1" w:styleId="ControlFlowTok">
    <w:name w:val="ControlFlowTok"/>
    <w:rPr>
      <w:b/>
      <w:color w:val="204A87"/>
      <w:shd w:val="clear" w:color="auto" w:fill="F8F8F8"/>
    </w:rPr>
  </w:style>
  <w:style w:type="character" w:customStyle="1" w:styleId="OperatorTok">
    <w:name w:val="OperatorTok"/>
    <w:rPr>
      <w:b/>
      <w:color w:val="CE5C00"/>
      <w:shd w:val="clear" w:color="auto" w:fill="F8F8F8"/>
    </w:rPr>
  </w:style>
  <w:style w:type="character" w:customStyle="1" w:styleId="BuiltInTok">
    <w:name w:val="BuiltInTok"/>
    <w:rPr>
      <w:shd w:val="clear" w:color="auto" w:fill="F8F8F8"/>
    </w:rPr>
  </w:style>
  <w:style w:type="character" w:customStyle="1" w:styleId="ExtensionTok">
    <w:name w:val="ExtensionTok"/>
    <w:rPr>
      <w:shd w:val="clear" w:color="auto" w:fill="F8F8F8"/>
    </w:rPr>
  </w:style>
  <w:style w:type="character" w:customStyle="1" w:styleId="PreprocessorTok">
    <w:name w:val="PreprocessorTok"/>
    <w:rPr>
      <w:i/>
      <w:color w:val="8F5902"/>
      <w:shd w:val="clear" w:color="auto" w:fill="F8F8F8"/>
    </w:rPr>
  </w:style>
  <w:style w:type="character" w:customStyle="1" w:styleId="AttributeTok">
    <w:name w:val="AttributeTok"/>
    <w:rPr>
      <w:color w:val="204A87"/>
      <w:shd w:val="clear" w:color="auto" w:fill="F8F8F8"/>
    </w:rPr>
  </w:style>
  <w:style w:type="character" w:customStyle="1" w:styleId="RegionMarkerTok">
    <w:name w:val="RegionMarkerTok"/>
    <w:rPr>
      <w:shd w:val="clear" w:color="auto" w:fill="F8F8F8"/>
    </w:rPr>
  </w:style>
  <w:style w:type="character" w:customStyle="1" w:styleId="InformationTok">
    <w:name w:val="InformationTok"/>
    <w:rPr>
      <w:b/>
      <w:i/>
      <w:color w:val="8F5902"/>
      <w:shd w:val="clear" w:color="auto" w:fill="F8F8F8"/>
    </w:rPr>
  </w:style>
  <w:style w:type="character" w:customStyle="1" w:styleId="WarningTok">
    <w:name w:val="WarningTok"/>
    <w:rPr>
      <w:b/>
      <w:i/>
      <w:color w:val="8F5902"/>
      <w:shd w:val="clear" w:color="auto" w:fill="F8F8F8"/>
    </w:rPr>
  </w:style>
  <w:style w:type="character" w:customStyle="1" w:styleId="AlertTok">
    <w:name w:val="AlertTok"/>
    <w:rPr>
      <w:color w:val="EF2929"/>
      <w:shd w:val="clear" w:color="auto" w:fill="F8F8F8"/>
    </w:rPr>
  </w:style>
  <w:style w:type="character" w:customStyle="1" w:styleId="ErrorTok">
    <w:name w:val="ErrorTok"/>
    <w:rPr>
      <w:b/>
      <w:color w:val="A40000"/>
      <w:shd w:val="clear" w:color="auto" w:fill="F8F8F8"/>
    </w:rPr>
  </w:style>
  <w:style w:type="character" w:customStyle="1" w:styleId="NormalTok">
    <w:name w:val="NormalTok"/>
    <w:rPr>
      <w:shd w:val="clear" w:color="auto" w:fill="F8F8F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hyeryeon.jang@morehouse.edu" TargetMode="External"/><Relationship Id="rId3" Type="http://schemas.openxmlformats.org/officeDocument/2006/relationships/settings" Target="settings.xml"/><Relationship Id="rId7" Type="http://schemas.openxmlformats.org/officeDocument/2006/relationships/hyperlink" Target="mailto:nathan.alexander@howard.edu"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2.png"/><Relationship Id="rId4" Type="http://schemas.openxmlformats.org/officeDocument/2006/relationships/webSettings" Target="webSettings.xml"/><Relationship Id="rId9"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12</TotalTime>
  <Pages>4</Pages>
  <Words>2930</Words>
  <Characters>16703</Characters>
  <Application>Microsoft Office Word</Application>
  <DocSecurity>0</DocSecurity>
  <Lines>139</Lines>
  <Paragraphs>39</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19594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 Computational Framework for Leveraging Population-level Data to Explore Humanitarian and Justice-oriented Perspectives</dc:title>
  <dc:creator>Nathan Alexander and Hye Ryeon Jang; nathan.alexander@howard.edu, hyeryeon.jang@morehouse.edu</dc:creator>
  <cp:keywords/>
  <cp:lastModifiedBy>Alexander, Nathan</cp:lastModifiedBy>
  <cp:revision>1</cp:revision>
  <dcterms:created xsi:type="dcterms:W3CDTF">2024-09-10T13:43:00Z</dcterms:created>
  <dcterms:modified xsi:type="dcterms:W3CDTF">2024-09-10T13:59:00Z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census-references.bib</vt:lpwstr>
  </property>
  <property fmtid="{D5CDD505-2E9C-101B-9397-08002B2CF9AE}" pid="3" name="output">
    <vt:lpwstr/>
  </property>
</Properties>
</file>