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56"/>
          <w:szCs w:val="56"/>
          <w:rtl w:val="0"/>
          <w:lang w:val="en-US"/>
        </w:rPr>
        <w:t xml:space="preserve">Machine Learning Private Equity Returns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7"/>
          <w:szCs w:val="37"/>
          <w:rtl w:val="0"/>
          <w:lang w:val="de-DE"/>
        </w:rPr>
        <w:t xml:space="preserve">Christian Tausch </w:t>
      </w:r>
      <w:r>
        <w:rPr>
          <w:rFonts w:ascii="Times Roman" w:cs="Times Roman" w:hAnsi="Times Roman" w:eastAsia="Times Roman"/>
          <w:sz w:val="37"/>
          <w:szCs w:val="37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de-DE"/>
        </w:rPr>
        <w:t xml:space="preserve">AssetMetrix GmbH </w:t>
      </w:r>
      <w:r>
        <w:rPr>
          <w:rFonts w:ascii="Times Roman" w:cs="Times Roman" w:hAnsi="Times Roman" w:eastAsia="Times Roman"/>
          <w:sz w:val="37"/>
          <w:szCs w:val="37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de-DE"/>
        </w:rPr>
        <w:t>Theresienh</w:t>
      </w:r>
      <w:r>
        <w:rPr>
          <w:rFonts w:ascii="Times Roman" w:hAnsi="Times Roman"/>
          <w:sz w:val="37"/>
          <w:szCs w:val="37"/>
          <w:rtl w:val="0"/>
          <w:lang w:val="de-DE"/>
        </w:rPr>
        <w:t>oe</w:t>
      </w:r>
      <w:r>
        <w:rPr>
          <w:rFonts w:ascii="Times Roman" w:hAnsi="Times Roman"/>
          <w:sz w:val="37"/>
          <w:szCs w:val="37"/>
          <w:rtl w:val="0"/>
          <w:lang w:val="de-DE"/>
        </w:rPr>
        <w:t xml:space="preserve">he 13, D-80339 Munich </w:t>
      </w:r>
      <w:r>
        <w:rPr>
          <w:rFonts w:ascii="Times Roman" w:cs="Times Roman" w:hAnsi="Times Roman" w:eastAsia="Times Roman"/>
          <w:sz w:val="37"/>
          <w:szCs w:val="37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de-DE"/>
        </w:rPr>
        <w:t xml:space="preserve">christian.tausch@quant-unit.com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rtl w:val="0"/>
        </w:rPr>
      </w:pPr>
      <w:r>
        <w:rPr>
          <w:rFonts w:ascii="Times Roman" w:hAnsi="Times Roman"/>
          <w:sz w:val="37"/>
          <w:szCs w:val="37"/>
          <w:rtl w:val="0"/>
          <w:lang w:val="de-DE"/>
        </w:rPr>
        <w:t xml:space="preserve">Marcus Pietz </w:t>
      </w:r>
      <w:r>
        <w:rPr>
          <w:rFonts w:ascii="Times Roman" w:cs="Times Roman" w:hAnsi="Times Roman" w:eastAsia="Times Roman"/>
          <w:sz w:val="37"/>
          <w:szCs w:val="37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de-DE"/>
        </w:rPr>
        <w:t xml:space="preserve">AssetMetrix GmbH </w:t>
      </w:r>
      <w:r>
        <w:rPr>
          <w:rFonts w:ascii="Times Roman" w:cs="Times Roman" w:hAnsi="Times Roman" w:eastAsia="Times Roman"/>
          <w:sz w:val="37"/>
          <w:szCs w:val="37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de-DE"/>
        </w:rPr>
        <w:t>Theresienh</w:t>
      </w:r>
      <w:r>
        <w:rPr>
          <w:rFonts w:ascii="Times Roman" w:hAnsi="Times Roman"/>
          <w:sz w:val="37"/>
          <w:szCs w:val="37"/>
          <w:rtl w:val="0"/>
          <w:lang w:val="de-DE"/>
        </w:rPr>
        <w:t>oe</w:t>
      </w:r>
      <w:r>
        <w:rPr>
          <w:rFonts w:ascii="Times Roman" w:hAnsi="Times Roman"/>
          <w:sz w:val="37"/>
          <w:szCs w:val="37"/>
          <w:rtl w:val="0"/>
          <w:lang w:val="de-DE"/>
        </w:rPr>
        <w:t xml:space="preserve">he 13, D-80339 Munich </w:t>
      </w:r>
      <w:r>
        <w:rPr>
          <w:rFonts w:ascii="Times Roman" w:cs="Times Roman" w:hAnsi="Times Roman" w:eastAsia="Times Roman"/>
          <w:sz w:val="37"/>
          <w:szCs w:val="37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marcus.pietz@asset-metrix.com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rtl w:val="0"/>
        </w:rPr>
      </w:pPr>
      <w:r>
        <w:rPr>
          <w:rFonts w:ascii="Times Roman" w:hAnsi="Times Roman"/>
          <w:sz w:val="37"/>
          <w:szCs w:val="37"/>
          <w:rtl w:val="0"/>
        </w:rPr>
        <w:t xml:space="preserve">December 21, 2023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rtl w:val="0"/>
        </w:rPr>
      </w:pP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7"/>
          <w:szCs w:val="37"/>
          <w:rtl w:val="0"/>
          <w:lang w:val="de-DE"/>
        </w:rPr>
        <w:t>Keywords: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Return factor model, Private equity, Public factor exposure, Model combination, Machine learning, Ensemble learning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45"/>
          <w:szCs w:val="45"/>
          <w:rtl w:val="0"/>
          <w:lang w:val="en-US"/>
        </w:rPr>
        <w:t xml:space="preserve">Acknowledgements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We thank Nicolas Du</w:t>
      </w:r>
      <w:r>
        <w:rPr>
          <w:rFonts w:ascii="Times Roman" w:hAnsi="Times Roman"/>
          <w:sz w:val="32"/>
          <w:szCs w:val="32"/>
          <w:rtl w:val="0"/>
          <w:lang w:val="de-DE"/>
        </w:rPr>
        <w:t>e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tsch, Philipp Abel, and Kai Urban for valuable feedback and helpful comments that greatly improved the paper.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45"/>
          <w:szCs w:val="45"/>
          <w:rtl w:val="0"/>
          <w:lang w:val="en-US"/>
        </w:rPr>
        <w:t xml:space="preserve">Declaration of interest </w:t>
      </w:r>
    </w:p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The authors report no conflict of interest. The authors alone are responsible for the content and writing of the paper. 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