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Kicker"/>
        <w:keepNext/>
        <w:keepLines w:val="0"/>
        <w:widowControl/>
        <w:spacing w:before="20" w:after="80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8"/>
        </w:rPr>
        <w:t>AI GOVERNANCE  /  AGENTIC SYSTEMS  /  CAPITAL MARKETS</w:t>
      </w:r>
    </w:p>
    <w:p>
      <w:pPr>
        <w:pStyle w:val="ResumeName"/>
        <w:keepNext/>
        <w:keepLines w:val="0"/>
        <w:widowControl/>
        <w:spacing w:before="0" w:after="20" w:line="226" w:lineRule="auto"/>
        <w:ind w:left="0" w:right="0"/>
      </w:pPr>
      <w:r>
        <w:rPr>
          <w:rFonts w:ascii="Georgia" w:hAnsi="Georgia" w:eastAsia="Georgia" w:cs="Georgia"/>
          <w:color w:val="171717"/>
          <w:sz w:val="68"/>
        </w:rPr>
        <w:t>Stephen Cho</w:t>
      </w:r>
    </w:p>
    <w:p>
      <w:pPr>
        <w:pStyle w:val="ResumeTagline"/>
        <w:keepNext/>
        <w:keepLines w:val="0"/>
        <w:widowControl/>
        <w:spacing w:before="0" w:after="5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24"/>
        </w:rPr>
        <w:t>AI Governance Architect  ·  Agentic Systems &amp; Capital Markets</w:t>
      </w:r>
    </w:p>
    <w:p>
      <w:pPr>
        <w:pStyle w:val="ResumeContact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8"/>
        </w:rPr>
        <w:t xml:space="preserve">San Francisco, CA  /  (415) 699-4064  /  stephenchung29@gmail.com  /  </w:t>
      </w:r>
      <w:hyperlink r:id="rId13" w:history="1">
        <w:r>
          <w:rPr>
            <w:rFonts w:ascii="Segoe UI" w:hAnsi="Segoe UI" w:eastAsia="Segoe UI" w:cs="Segoe UI"/>
            <w:color w:val="632433"/>
            <w:u w:val="none"/>
            <w:sz w:val="18"/>
            <w:szCs w:val="18"/>
          </w:rPr>
          <w:t>linkedin.com/in/stephen-cho-50226699</w:t>
        </w:r>
      </w:hyperlink>
    </w:p>
    <w:p>
      <w:pPr>
        <w:keepNext/>
        <w:keepLines w:val="0"/>
        <w:widowControl/>
        <w:spacing w:before="0" w:after="120" w:line="240" w:lineRule="auto"/>
        <w:ind w:left="0" w:right="6120"/>
        <w:pBdr>
          <w:bottom w:val="single" w:sz="6" w:space="1" w:color="B8A57C"/>
        </w:pBdr>
      </w:pPr>
    </w:p>
    <w:p>
      <w:pPr>
        <w:pStyle w:val="ResumeHero"/>
        <w:keepNext w:val="0"/>
        <w:keepLines/>
        <w:widowControl/>
        <w:spacing w:before="10" w:after="68" w:line="259" w:lineRule="auto"/>
        <w:ind w:left="0" w:right="0"/>
      </w:pPr>
      <w:r>
        <w:rPr>
          <w:rFonts w:ascii="Georgia" w:hAnsi="Georgia" w:eastAsia="Georgia" w:cs="Georgia"/>
          <w:color w:val="171717"/>
          <w:sz w:val="30"/>
        </w:rPr>
        <w:t>Designed QuantChoAI from a decade of capital-markets failure modes: a two-layer financial AI operating system that turns agentic work into governed decisions through risk-aware routing, bounded authority, evidence gates, and recoverable execution.</w:t>
      </w:r>
    </w:p>
    <w:p>
      <w:pPr>
        <w:pStyle w:val="ResumeEvidence"/>
        <w:keepNext w:val="0"/>
        <w:keepLines/>
        <w:widowControl/>
        <w:spacing w:before="0" w:after="11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6F6A63"/>
          <w:sz w:val="16"/>
          <w:spacing w:val="8"/>
        </w:rPr>
        <w:t>10+ YEARS  ·  FRONT ARENA + CALYPSO  ·  ~$500M FUND  ·  QUANTCHOAI</w:t>
      </w:r>
    </w:p>
    <w:p>
      <w:pPr>
        <w:pStyle w:val="Heading1"/>
        <w:keepNext/>
        <w:keepLines w:val="0"/>
        <w:widowControl/>
        <w:spacing w:before="5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</w:t>
      </w:r>
    </w:p>
    <w:p>
      <w:pPr>
        <w:pStyle w:val="ResumeFeaturedLabel"/>
        <w:keepNext/>
        <w:keepLines w:val="0"/>
        <w:widowControl/>
        <w:spacing w:before="40" w:after="3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9"/>
        </w:rPr>
        <w:t>SIGNATURE SYSTEM  —  TWO-LAYER FINANCIAL AI OPERATING SYSTEM  ·  FAIL-CLOSED</w:t>
      </w:r>
    </w:p>
    <w:p>
      <w:pPr>
        <w:pStyle w:val="ResumeCompany"/>
        <w:keepNext/>
        <w:keepLines w:val="0"/>
        <w:widowControl/>
        <w:tabs>
          <w:tab w:pos="9965" w:val="right"/>
        </w:tabs>
        <w:spacing w:before="20" w:after="1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b/>
          <w:color w:val="171717"/>
          <w:sz w:val="22"/>
        </w:rPr>
        <w:t>QuantChoAI LLC</w:t>
      </w:r>
      <w:r>
        <w:rPr>
          <w:rFonts w:ascii="Consolas" w:hAnsi="Consolas" w:eastAsia="Consolas" w:cs="Consolas"/>
          <w:b/>
          <w:color w:val="6F6A63"/>
          <w:sz w:val="17"/>
        </w:rPr>
        <w:tab/>
        <w:t>Apr 2025 -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color w:val="6F6A63"/>
          <w:sz w:val="19"/>
        </w:rPr>
        <w:t>Founder &amp; AI Governance Architect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I. CLIENT EXPERIENCE OS</w:t>
      </w:r>
      <w:r>
        <w:rPr>
          <w:rFonts w:ascii="Segoe UI" w:hAnsi="Segoe UI" w:eastAsia="Segoe UI" w:cs="Segoe UI"/>
          <w:color w:val="171717"/>
          <w:sz w:val="19"/>
        </w:rPr>
        <w:t xml:space="preserve">  Dashboard · Positions · Risk · Subledger — market/risk state, decisions, provenance, and audit context.</w:t>
      </w:r>
    </w:p>
    <w:p>
      <w:pPr>
        <w:pStyle w:val="ResumeFeaturedLabel"/>
        <w:keepNext w:val="0"/>
        <w:keepLines/>
        <w:widowControl/>
        <w:spacing w:before="0" w:after="20" w:line="240" w:lineRule="auto"/>
        <w:ind w:left="202" w:right="202"/>
        <w:jc w:val="center"/>
        <w:shd w:val="clear" w:color="auto" w:fill="F2EEE7"/>
        <w:pBdr>
          <w:left w:val="single" w:sz="14" w:space="6" w:color="742735"/>
          <w:top w:val="single" w:sz="2" w:space="2" w:color="D8D0C3"/>
          <w:bottom w:val="single" w:sz="2" w:space="2" w:color="D8D0C3"/>
        </w:pBdr>
      </w:pPr>
      <w:r>
        <w:rPr>
          <w:rFonts w:ascii="Segoe UI Semibold" w:hAnsi="Segoe UI Semibold" w:eastAsia="Segoe UI Semibold" w:cs="Segoe UI Semibold"/>
          <w:b/>
          <w:color w:val="6F6A63"/>
          <w:sz w:val="15"/>
          <w:spacing w:val="12"/>
        </w:rPr>
        <w:t>SCHEMA-DEFINED TICKETS + BOUNDED AUTHORITY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II. AGENT GOVERNANCE OS</w:t>
      </w:r>
      <w:r>
        <w:rPr>
          <w:rFonts w:ascii="Segoe UI" w:hAnsi="Segoe UI" w:eastAsia="Segoe UI" w:cs="Segoe UI"/>
          <w:color w:val="171717"/>
          <w:sz w:val="19"/>
        </w:rPr>
        <w:t xml:space="preserve">  Route · Authorize · Test · Promote / Recycle · Recover — the control layer behind the client experience.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Designed quantitative decision models for agent selection, trust, and authority by combining expected task value, success likelihood, cost, uncertainty, and tail risk (CVaR-aware routing; Bayesian/Elo-style trust updates).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Governed schema-defined workflows through risk tiers, shadow-to-canary-to-full promotion, bounded recycle/replacement, test and audit gates, and operator approval for money or irreversible actions.</w:t>
      </w:r>
    </w:p>
    <w:p>
      <w:pPr>
        <w:pStyle w:val="ResumeBullet"/>
        <w:keepNext w:val="0"/>
        <w:keepLines/>
        <w:widowControl/>
        <w:spacing w:before="0" w:after="22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Implemented MongoDB ticket/claim ledgers, isolated Git worktrees, deterministic reduction, fail-closed validation, append-only outcome telemetry, dashboards, and recovery controls.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76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Calypso Technology</w:t>
      </w:r>
      <w:r>
        <w:rPr>
          <w:rFonts w:ascii="Consolas" w:hAnsi="Consolas" w:eastAsia="Consolas" w:cs="Consolas"/>
          <w:b/>
          <w:color w:val="6F6A63"/>
          <w:sz w:val="17"/>
        </w:rPr>
        <w:tab/>
        <w:t>Jan 2020 - Jan 2021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QA Engineer - XVA / ERS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Validated monthly Calypso releases and new feature requests (RPMs) across XVA and ERS, executing manual test cases, investigating client-reported issues in JIRA, monitoring production outputs and services, and contributing to formal project-status reporting.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Investigated pricing, risk-valuation, and P&amp;L discrepancies using Calypso Scenario Engine and Monte Carlo Scenario Engine matrices, including yield-curve, underlying-price, and FX shocks; supported relative-value and asset-allocation analysis.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Supported implementations and upgrades - including system updates, patches, configuration changes, and regulatory risk-module adjustments - for clients and market-infrastructure organizations including HKEX, EUREX, MUFG, RBC, HSBC, AIB, Gazprom Bank, and Emirates NBD.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8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Open Door Capital Advisors, LLC</w:t>
      </w:r>
      <w:r>
        <w:rPr>
          <w:rFonts w:ascii="Consolas" w:hAnsi="Consolas" w:eastAsia="Consolas" w:cs="Consolas"/>
          <w:b/>
          <w:color w:val="6F6A63"/>
          <w:sz w:val="17"/>
        </w:rPr>
        <w:tab/>
        <w:t>May 2018 - Jan 2020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Investment Risk and Performance Specialist / Investment Control Specialist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Produced VaR, stress, liquidity, concentration, attribution, due-diligence, contribution-to-return, and monthly investor reporting for an approximately $500M Greater China hedge fund.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Evaluated vendor risk models and developed custom factors for Greater China and emerging-market exposures; built risk and performance-attribution workflows using Bloomberg, FactSet, and R.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Performed daily controls spanning swap, cash, and securities approvals; pre- and post-trade compliance; booking, allocation, settlement, reconciliation, margin monitoring, and broker communication.</w:t>
      </w:r>
    </w:p>
    <w:p>
      <w:pPr>
        <w:pStyle w:val="Heading1"/>
        <w:keepNext/>
        <w:keepLines w:val="0"/>
        <w:pageBreakBefore/>
        <w:widowControl/>
        <w:spacing w:before="8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 / CONTINUED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4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FIS Global (Formerly SunGard Front Arena)</w:t>
      </w:r>
      <w:r>
        <w:rPr>
          <w:rFonts w:ascii="Consolas" w:hAnsi="Consolas" w:eastAsia="Consolas" w:cs="Consolas"/>
          <w:b/>
          <w:color w:val="6F6A63"/>
          <w:sz w:val="17"/>
        </w:rPr>
        <w:tab/>
        <w:t>Jun 2015 - Apr 2018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Trading Application Support Analyst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Customized FIX interfaces, Bloomberg data loaders, FTP/SFTP feeds, and Python/XSL mappings to route instruments and trades between prime brokers, Front Arena, downstream brokers, and fund administrators.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Resolved pricing, P&amp;L, risk, yield-curve, volatility-surface, Greeks, and structured-product workflow issues; customized workbooks and automated end-of-day reporting.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Configured pre- and post-trade compliance rules and risk modules across market, liquidity, counterparty, operational, and regulatory requirements; partnered with core development on reusable functionality.</w:t>
      </w:r>
    </w:p>
    <w:p>
      <w:pPr>
        <w:pStyle w:val="Heading1"/>
        <w:keepNext/>
        <w:keepLines w:val="0"/>
        <w:widowControl/>
        <w:spacing w:before="76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02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GOVERNANCE ARCHITECTURE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ROUTE  </w:t>
      </w:r>
      <w:r>
        <w:rPr>
          <w:rFonts w:ascii="Segoe UI" w:hAnsi="Segoe UI" w:eastAsia="Segoe UI" w:cs="Segoe UI"/>
          <w:color w:val="171717"/>
          <w:sz w:val="19"/>
        </w:rPr>
        <w:t>Select agents using expected task value, success likelihood, cost, uncertainty, and tail-risk budgets.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PROVE  </w:t>
      </w:r>
      <w:r>
        <w:rPr>
          <w:rFonts w:ascii="Segoe UI" w:hAnsi="Segoe UI" w:eastAsia="Segoe UI" w:cs="Segoe UI"/>
          <w:color w:val="171717"/>
          <w:sz w:val="19"/>
        </w:rPr>
        <w:t>Update trust from outcomes, calibrate evidence, and move work through shadow, canary, test, and audit gates.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AUTHORIZE  </w:t>
      </w:r>
      <w:r>
        <w:rPr>
          <w:rFonts w:ascii="Segoe UI" w:hAnsi="Segoe UI" w:eastAsia="Segoe UI" w:cs="Segoe UI"/>
          <w:color w:val="171717"/>
          <w:sz w:val="19"/>
        </w:rPr>
        <w:t>Bind context, tools, and budget to risk tier; fail closed and require operator release for high-risk actions.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INSTITUTIONAL SUBSTRATE  </w:t>
      </w:r>
      <w:r>
        <w:rPr>
          <w:rFonts w:ascii="Segoe UI" w:hAnsi="Segoe UI" w:eastAsia="Segoe UI" w:cs="Segoe UI"/>
          <w:color w:val="171717"/>
          <w:sz w:val="19"/>
        </w:rPr>
        <w:t>Front Arena; Calypso XVA/ERS; Bloomberg; FactSet; Python; SQL; MongoDB; FIX/REST; JSON/XML/XSL; Git; ticket/claim ledgers; isolated worktrees; deterministic reduction; rollback and recovery.</w:t>
      </w:r>
    </w:p>
    <w:p>
      <w:pPr>
        <w:pStyle w:val="Heading1"/>
        <w:keepNext/>
        <w:keepLines w:val="0"/>
        <w:widowControl/>
        <w:spacing w:before="76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03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GLOBAL OPERATIONS / MEDIA</w:t>
      </w:r>
    </w:p>
    <w:p>
      <w:pPr>
        <w:pStyle w:val="ResumeFeaturedLabel"/>
        <w:keepNext/>
        <w:keepLines w:val="0"/>
        <w:widowControl/>
        <w:spacing w:before="30" w:after="32" w:line="240" w:lineRule="auto"/>
        <w:ind w:left="202" w:right="202"/>
        <w:shd w:val="clear" w:color="auto" w:fill="F2EEE7"/>
        <w:pBdr>
          <w:top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0"/>
        </w:rPr>
        <w:t>WORLD STAGE  /  GLOBAL OPERATIONS, LIVE MEDIA &amp; LANGUAGE</w:t>
      </w:r>
    </w:p>
    <w:p>
      <w:pPr>
        <w:pStyle w:val="ResumeFeatureTitle"/>
        <w:keepNext/>
        <w:keepLines w:val="0"/>
        <w:widowControl/>
        <w:tabs>
          <w:tab w:pos="9965" w:val="right"/>
        </w:tabs>
        <w:spacing w:before="0" w:after="16" w:line="240" w:lineRule="auto"/>
        <w:ind w:left="202" w:right="202"/>
        <w:shd w:val="clear" w:color="auto" w:fill="F2EEE7"/>
      </w:pPr>
      <w:r>
        <w:rPr>
          <w:rFonts w:ascii="Georgia" w:hAnsi="Georgia" w:eastAsia="Georgia" w:cs="Georgia"/>
          <w:color w:val="171717"/>
          <w:sz w:val="30"/>
        </w:rPr>
        <w:t>18th World Xiangqi Championship</w:t>
      </w:r>
      <w:r>
        <w:rPr>
          <w:rFonts w:ascii="Consolas" w:hAnsi="Consolas" w:eastAsia="Consolas" w:cs="Consolas"/>
          <w:b/>
          <w:color w:val="6F6A63"/>
          <w:sz w:val="17"/>
        </w:rPr>
        <w:tab/>
        <w:t>2023</w:t>
      </w:r>
    </w:p>
    <w:p>
      <w:pPr>
        <w:pStyle w:val="ResumeRole"/>
        <w:keepNext/>
        <w:keepLines w:val="0"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6F6A63"/>
          <w:sz w:val="19"/>
        </w:rPr>
        <w:t>Organizing Committee  ·  Lead Organizer, Venue Technology &amp; Trilingual Broadcast Operations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Designed, built, and operated the venue technology and Tencent live-stream stack end to end—configuring OBS Studio, establishing broadcast workflows, and coordinating directly with Tencent's technical team through live event delivery.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Selected as the championship's sole on-site MC and Tencent live-broadcast host who was not a Chinese national; provided real-time English, Mandarin, and Cantonese interpretation for referees, players, consular and elected officials, government leaders, and international delegations.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4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Invited by Xinhua News Agency—China's state news agency—as the only overseas Xiangqi International Master to contribute signed English coverage; authored the opening and closing championship reports.</w:t>
      </w:r>
    </w:p>
    <w:p>
      <w:pPr>
        <w:pStyle w:val="ResumeDetail"/>
        <w:keepNext w:val="0"/>
        <w:keepLines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XINHUA BYLINES  </w:t>
      </w:r>
      <w:hyperlink r:id="rId14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Opening report</w:t>
        </w:r>
      </w:hyperlink>
      <w:r>
        <w:rPr>
          <w:rFonts w:ascii="Segoe UI" w:hAnsi="Segoe UI" w:eastAsia="Segoe UI" w:cs="Segoe UI"/>
          <w:color w:val="B8A57C"/>
          <w:sz w:val="18"/>
        </w:rPr>
        <w:t xml:space="preserve">  ·  </w:t>
      </w:r>
      <w:hyperlink r:id="rId15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Closing report</w:t>
        </w:r>
      </w:hyperlink>
    </w:p>
    <w:p>
      <w:pPr>
        <w:pStyle w:val="ResumeDetail"/>
        <w:keepNext w:val="0"/>
        <w:keepLines/>
        <w:widowControl/>
        <w:spacing w:before="0" w:after="56" w:line="252" w:lineRule="auto"/>
        <w:ind w:left="202" w:right="202"/>
        <w:shd w:val="clear" w:color="auto" w:fill="F2EEE7"/>
        <w:pBdr>
          <w:bottom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DISTINCTION  </w:t>
      </w:r>
      <w:r>
        <w:rPr>
          <w:rFonts w:ascii="Segoe UI" w:hAnsi="Segoe UI" w:eastAsia="Segoe UI" w:cs="Segoe UI"/>
          <w:color w:val="171717"/>
          <w:sz w:val="18"/>
        </w:rPr>
        <w:t>International Master of Xiangqi (IM 0150) · Represented the United States; placed 14th at the 2019 World Tournament.</w:t>
      </w:r>
    </w:p>
    <w:p>
      <w:pPr>
        <w:pStyle w:val="Heading1"/>
        <w:keepNext/>
        <w:keepLines w:val="0"/>
        <w:widowControl/>
        <w:spacing w:before="64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04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ADDITIONAL OPERATIONS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4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Keroro Travel</w:t>
      </w:r>
      <w:r>
        <w:rPr>
          <w:rFonts w:ascii="Consolas" w:hAnsi="Consolas" w:eastAsia="Consolas" w:cs="Consolas"/>
          <w:b/>
          <w:color w:val="6F6A63"/>
          <w:sz w:val="17"/>
        </w:rPr>
        <w:tab/>
        <w:t>Jul 2024 -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General Manager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Manage booking and advisory operations across Expedia TAAP, Fora, and supplier portals; standardized itinerary, commission tracking, client data, and service workflows while coordinating a San Francisco storefront expansion.</w:t>
      </w:r>
    </w:p>
    <w:p>
      <w:pPr>
        <w:pStyle w:val="Heading1"/>
        <w:keepNext/>
        <w:keepLines w:val="0"/>
        <w:widowControl/>
        <w:spacing w:before="64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05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EDUCATION / CREDENTIALS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2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University of California, Los Angeles (UCLA)</w:t>
      </w:r>
      <w:r>
        <w:rPr>
          <w:rFonts w:ascii="Consolas" w:hAnsi="Consolas" w:eastAsia="Consolas" w:cs="Consolas"/>
          <w:b/>
          <w:color w:val="6F6A63"/>
          <w:sz w:val="17"/>
        </w:rPr>
        <w:tab/>
        <w:t>2012 - 2014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Bachelor's degree, Mathematics/Economics · Minor in Statistics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CERTIFICATIONS  </w:t>
      </w:r>
      <w:r>
        <w:rPr>
          <w:rFonts w:ascii="Segoe UI" w:hAnsi="Segoe UI" w:eastAsia="Segoe UI" w:cs="Segoe UI"/>
          <w:color w:val="171717"/>
          <w:sz w:val="19"/>
        </w:rPr>
        <w:t>FIS/SunGard Front Arena AEF Base Certified Developer; CFA Claritas Investment Certificate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LANGUAGES  </w:t>
      </w:r>
      <w:r>
        <w:rPr>
          <w:rFonts w:ascii="Segoe UI" w:hAnsi="Segoe UI" w:eastAsia="Segoe UI" w:cs="Segoe UI"/>
          <w:color w:val="171717"/>
          <w:sz w:val="19"/>
        </w:rPr>
        <w:t>English — full professional proficiency; Cantonese and Mandarin — native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792" w:right="936" w:bottom="792" w:left="936" w:header="360" w:footer="25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umeFooter"/>
      <w:keepNext w:val="0"/>
      <w:keepLines w:val="0"/>
      <w:widowControl/>
      <w:tabs>
        <w:tab w:pos="10368" w:val="right"/>
      </w:tabs>
      <w:spacing w:before="20" w:after="60" w:line="240" w:lineRule="auto"/>
      <w:ind w:left="0" w:right="0"/>
      <w:jc w:val="left"/>
      <w:pBdr>
        <w:bottom w:val="single" w:sz="4" w:space="3" w:color="B8A57C"/>
      </w:pBdr>
    </w:pPr>
    <w:r/>
    <w:r>
      <w:rPr>
        <w:rFonts w:ascii="Consolas" w:hAnsi="Consolas" w:eastAsia="Consolas" w:cs="Consolas"/>
        <w:color w:val="6F6A63"/>
        <w:sz w:val="15"/>
        <w:spacing w:val="8"/>
      </w:rPr>
      <w:t>STEPHEN CHO / AI GOVERNANCE ARCHITECT</w:t>
    </w:r>
    <w:r>
      <w:rPr>
        <w:rFonts w:ascii="Georgia" w:hAnsi="Georgia" w:eastAsia="Georgia" w:cs="Georgia"/>
        <w:color w:val="742735"/>
        <w:sz w:val="26"/>
      </w:rPr>
      <w:tab/>
      <w:t>02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00"/>
        </w:tabs>
        <w:ind w:left="300" w:hanging="150"/>
      </w:pPr>
      <w:rPr>
        <w:rFonts w:ascii="Segoe UI" w:hAnsi="Segoe UI"/>
        <w:color w:val="742735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36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7" w:lineRule="auto"/>
    </w:pPr>
    <w:rPr>
      <w:rFonts w:ascii="Segoe UI" w:hAnsi="Segoe UI" w:eastAsia="Segoe UI"/>
      <w:b w:val="0"/>
      <w:i w:val="0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 w:ascii="Segoe UI Semibold" w:hAnsi="Segoe UI Semibold" w:eastAsia="Segoe UI Semibold"/>
      <w:b/>
      <w:bCs/>
      <w:i w:val="0"/>
      <w:color w:val="171717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17171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240" w:lineRule="auto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6F6A6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26" w:lineRule="auto" w:before="0"/>
      <w:contextualSpacing/>
    </w:pPr>
    <w:rPr>
      <w:rFonts w:asciiTheme="majorHAnsi" w:eastAsiaTheme="majorEastAsia" w:hAnsiTheme="majorHAnsi" w:cstheme="majorBidi" w:ascii="Georgia" w:hAnsi="Georgia" w:eastAsia="Georgia"/>
      <w:b w:val="0"/>
      <w:i w:val="0"/>
      <w:color w:val="171717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 w:line="240" w:lineRule="auto"/>
    </w:pPr>
    <w:rPr>
      <w:rFonts w:asciiTheme="majorHAnsi" w:eastAsiaTheme="majorEastAsia" w:hAnsiTheme="majorHAnsi" w:cstheme="majorBidi" w:ascii="Segoe UI Semibold" w:hAnsi="Segoe UI Semibold" w:eastAsia="Segoe UI Semibold"/>
      <w:b/>
      <w:i w:val="0"/>
      <w:iCs/>
      <w:color w:val="74273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Kicker">
    <w:name w:val="Resume Kicker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Name">
    <w:name w:val="Resume Nam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68"/>
    </w:rPr>
  </w:style>
  <w:style w:type="paragraph" w:customStyle="1" w:styleId="ResumeTagline">
    <w:name w:val="Resume Taglin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24"/>
    </w:rPr>
  </w:style>
  <w:style w:type="paragraph" w:customStyle="1" w:styleId="ResumeContact">
    <w:name w:val="Resume Contac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8"/>
    </w:rPr>
  </w:style>
  <w:style w:type="paragraph" w:customStyle="1" w:styleId="ResumeSignal">
    <w:name w:val="Resume Signa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Hero">
    <w:name w:val="Resume Hero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Evidence">
    <w:name w:val="Resume Evidenc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Company">
    <w:name w:val="Resume Company"/>
    <w:basedOn w:val="Normal"/>
    <w:pPr>
      <w:spacing w:before="0" w:after="0" w:line="254" w:lineRule="auto"/>
    </w:pPr>
    <w:rPr>
      <w:rFonts w:ascii="Georgia" w:hAnsi="Georgia" w:eastAsia="Georgia"/>
      <w:b/>
      <w:i w:val="0"/>
      <w:color w:val="171717"/>
      <w:sz w:val="22"/>
    </w:rPr>
  </w:style>
  <w:style w:type="paragraph" w:customStyle="1" w:styleId="ResumeRole">
    <w:name w:val="Resume Role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9"/>
    </w:rPr>
  </w:style>
  <w:style w:type="paragraph" w:customStyle="1" w:styleId="ResumeBullet">
    <w:name w:val="Resume Bulle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Detail">
    <w:name w:val="Resume Detail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FeaturedLabel">
    <w:name w:val="Resume Featured Labe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Architecture">
    <w:name w:val="Resume Architectur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21"/>
    </w:rPr>
  </w:style>
  <w:style w:type="paragraph" w:customStyle="1" w:styleId="ResumeFeatureTitle">
    <w:name w:val="Resume Feature Titl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Footer">
    <w:name w:val="Resume Footer"/>
    <w:basedOn w:val="Normal"/>
    <w:pPr>
      <w:spacing w:before="0" w:after="0" w:line="254" w:lineRule="auto"/>
    </w:pPr>
    <w:rPr>
      <w:rFonts w:ascii="Consolas" w:hAnsi="Consolas" w:eastAsia="Consolas"/>
      <w:b w:val="0"/>
      <w:i w:val="0"/>
      <w:color w:val="6F6A6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https://www.linkedin.com/in/stephen-cho-50226699" TargetMode="External"/><Relationship Id="rId14" Type="http://schemas.openxmlformats.org/officeDocument/2006/relationships/hyperlink" Target="https://english.news.cn/20231122/6d1d9d39de224f4ab77c066e2427cf7e/c.html" TargetMode="External"/><Relationship Id="rId15" Type="http://schemas.openxmlformats.org/officeDocument/2006/relationships/hyperlink" Target="https://english.news.cn/20231126/20c73fa3f10940aa880e24482bd0c7d5/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Stephen Cho - AI Governance Architect Resume</dc:title>
  <dc:subject>Agentic systems, quantitative AI governance, capital-markets platforms, and risk operations</dc:subject>
  <dc:creator>Stephen Cho</dc:creator>
  <cp:keywords>AI governance architect, agentic systems, risk-aware routing, bounded authority, capital markets, risk operations, Python, SQL, FIX, Front Arena, Calypso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