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Kicker"/>
        <w:keepNext/>
        <w:keepLines w:val="0"/>
        <w:widowControl/>
        <w:spacing w:before="20" w:after="80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18"/>
        </w:rPr>
        <w:t>AGENTIC WORKFLOWS  /  AI PLATFORMS  /  OPERATIONAL CONTROL</w:t>
      </w:r>
    </w:p>
    <w:p>
      <w:pPr>
        <w:pStyle w:val="ResumeName"/>
        <w:keepNext/>
        <w:keepLines w:val="0"/>
        <w:widowControl/>
        <w:spacing w:before="0" w:after="20" w:line="226" w:lineRule="auto"/>
        <w:ind w:left="0" w:right="0"/>
      </w:pPr>
      <w:r>
        <w:rPr>
          <w:rFonts w:ascii="Georgia" w:hAnsi="Georgia" w:eastAsia="Georgia" w:cs="Georgia"/>
          <w:color w:val="171717"/>
          <w:sz w:val="68"/>
        </w:rPr>
        <w:t>Stephen Cho</w:t>
      </w:r>
    </w:p>
    <w:p>
      <w:pPr>
        <w:pStyle w:val="ResumeTagline"/>
        <w:keepNext/>
        <w:keepLines w:val="0"/>
        <w:widowControl/>
        <w:spacing w:before="0" w:after="56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742735"/>
          <w:sz w:val="24"/>
        </w:rPr>
        <w:t>AI Systems Architect  ·  Product, Platform &amp; Governance</w:t>
      </w:r>
    </w:p>
    <w:p>
      <w:pPr>
        <w:pStyle w:val="ResumeContact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8"/>
        </w:rPr>
        <w:t xml:space="preserve">San Francisco, CA  /  (415) 699-4064  /  stephenchung29@gmail.com  /  </w:t>
      </w:r>
      <w:hyperlink r:id="rId13" w:history="1">
        <w:r>
          <w:rPr>
            <w:rFonts w:ascii="Segoe UI" w:hAnsi="Segoe UI" w:eastAsia="Segoe UI" w:cs="Segoe UI"/>
            <w:color w:val="632433"/>
            <w:u w:val="none"/>
            <w:sz w:val="18"/>
            <w:szCs w:val="18"/>
          </w:rPr>
          <w:t>linkedin.com/in/stephen-cho-50226699</w:t>
        </w:r>
      </w:hyperlink>
    </w:p>
    <w:p>
      <w:pPr>
        <w:keepNext/>
        <w:keepLines w:val="0"/>
        <w:widowControl/>
        <w:spacing w:before="0" w:after="120" w:line="240" w:lineRule="auto"/>
        <w:ind w:left="0" w:right="6120"/>
        <w:pBdr>
          <w:bottom w:val="single" w:sz="6" w:space="1" w:color="B8A57C"/>
        </w:pBdr>
      </w:pPr>
    </w:p>
    <w:p>
      <w:pPr>
        <w:pStyle w:val="ResumeHero"/>
        <w:keepNext w:val="0"/>
        <w:keepLines/>
        <w:widowControl/>
        <w:spacing w:before="10" w:after="68" w:line="259" w:lineRule="auto"/>
        <w:ind w:left="0" w:right="0"/>
      </w:pPr>
      <w:r>
        <w:rPr>
          <w:rFonts w:ascii="Georgia" w:hAnsi="Georgia" w:eastAsia="Georgia" w:cs="Georgia"/>
          <w:color w:val="171717"/>
          <w:sz w:val="30"/>
        </w:rPr>
        <w:t>Designed QuantChoAI, a two-layer agentic operating system that pairs client-facing workflows with a governance control plane for routing, permissions, evidence, staged promotion, recovery, and human approval.</w:t>
      </w:r>
    </w:p>
    <w:p>
      <w:pPr>
        <w:pStyle w:val="ResumeEvidence"/>
        <w:keepNext w:val="0"/>
        <w:keepLines/>
        <w:widowControl/>
        <w:spacing w:before="0" w:after="116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6F6A63"/>
          <w:sz w:val="16"/>
          <w:spacing w:val="8"/>
        </w:rPr>
        <w:t>10+ YEARS  ·  AGENTIC SYSTEMS  ·  PLATFORM OPERATIONS  ·  TRILINGUAL GLOBAL DELIVERY</w:t>
      </w:r>
    </w:p>
    <w:p>
      <w:pPr>
        <w:pStyle w:val="Heading1"/>
        <w:keepNext/>
        <w:keepLines w:val="0"/>
        <w:widowControl/>
        <w:spacing w:before="5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01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AI SYSTEMS &amp; PRODUCT</w:t>
      </w:r>
    </w:p>
    <w:p>
      <w:pPr>
        <w:pStyle w:val="ResumeFeaturedLabel"/>
        <w:keepNext/>
        <w:keepLines w:val="0"/>
        <w:widowControl/>
        <w:spacing w:before="40" w:after="30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9"/>
        </w:rPr>
        <w:t>SIGNATURE SYSTEM  —  TWO-LAYER AGENTIC AI OPERATING SYSTEM  ·  FAIL-CLOSED</w:t>
      </w:r>
    </w:p>
    <w:p>
      <w:pPr>
        <w:pStyle w:val="ResumeCompany"/>
        <w:keepNext/>
        <w:keepLines w:val="0"/>
        <w:widowControl/>
        <w:tabs>
          <w:tab w:pos="9965" w:val="right"/>
        </w:tabs>
        <w:spacing w:before="20" w:after="10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b/>
          <w:color w:val="171717"/>
          <w:sz w:val="22"/>
        </w:rPr>
        <w:t>QuantChoAI LLC</w:t>
      </w:r>
      <w:r>
        <w:rPr>
          <w:rFonts w:ascii="Consolas" w:hAnsi="Consolas" w:eastAsia="Consolas" w:cs="Consolas"/>
          <w:b/>
          <w:color w:val="6F6A63"/>
          <w:sz w:val="17"/>
        </w:rPr>
        <w:tab/>
        <w:t>Apr 2025 - Present</w:t>
      </w:r>
    </w:p>
    <w:p>
      <w:pPr>
        <w:pStyle w:val="ResumeRole"/>
        <w:keepNext/>
        <w:keepLines w:val="0"/>
        <w:widowControl/>
        <w:spacing w:before="0" w:after="32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color w:val="6F6A63"/>
          <w:sz w:val="19"/>
        </w:rPr>
        <w:t>AI Systems Architect &amp; Product Lead</w:t>
      </w:r>
    </w:p>
    <w:p>
      <w:pPr>
        <w:pStyle w:val="ResumeArchitecture"/>
        <w:keepNext w:val="0"/>
        <w:keepLines/>
        <w:widowControl/>
        <w:spacing w:before="0" w:after="20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color w:val="742735"/>
          <w:sz w:val="21"/>
        </w:rPr>
        <w:t>I. CLIENT EXPERIENCE OS</w:t>
      </w:r>
      <w:r>
        <w:rPr>
          <w:rFonts w:ascii="Segoe UI" w:hAnsi="Segoe UI" w:eastAsia="Segoe UI" w:cs="Segoe UI"/>
          <w:color w:val="171717"/>
          <w:sz w:val="19"/>
        </w:rPr>
        <w:t xml:space="preserve">  Dashboards · Positions · Risk · Subledger — client-facing state, decisions, provenance, and audit context.</w:t>
      </w:r>
    </w:p>
    <w:p>
      <w:pPr>
        <w:pStyle w:val="ResumeFeaturedLabel"/>
        <w:keepNext w:val="0"/>
        <w:keepLines/>
        <w:widowControl/>
        <w:spacing w:before="0" w:after="20" w:line="240" w:lineRule="auto"/>
        <w:ind w:left="202" w:right="202"/>
        <w:jc w:val="center"/>
        <w:shd w:val="clear" w:color="auto" w:fill="F2EEE7"/>
        <w:pBdr>
          <w:left w:val="single" w:sz="14" w:space="6" w:color="742735"/>
          <w:top w:val="single" w:sz="2" w:space="2" w:color="D8D0C3"/>
          <w:bottom w:val="single" w:sz="2" w:space="2" w:color="D8D0C3"/>
        </w:pBdr>
      </w:pPr>
      <w:r>
        <w:rPr>
          <w:rFonts w:ascii="Segoe UI Semibold" w:hAnsi="Segoe UI Semibold" w:eastAsia="Segoe UI Semibold" w:cs="Segoe UI Semibold"/>
          <w:b/>
          <w:color w:val="6F6A63"/>
          <w:sz w:val="15"/>
          <w:spacing w:val="12"/>
        </w:rPr>
        <w:t>SCHEMA-DEFINED TICKETS + BOUNDED AUTHORITY</w:t>
      </w:r>
    </w:p>
    <w:p>
      <w:pPr>
        <w:pStyle w:val="ResumeArchitecture"/>
        <w:keepNext w:val="0"/>
        <w:keepLines/>
        <w:widowControl/>
        <w:spacing w:before="0" w:after="20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color w:val="742735"/>
          <w:sz w:val="21"/>
        </w:rPr>
        <w:t>II. AGENT GOVERNANCE OS</w:t>
      </w:r>
      <w:r>
        <w:rPr>
          <w:rFonts w:ascii="Segoe UI" w:hAnsi="Segoe UI" w:eastAsia="Segoe UI" w:cs="Segoe UI"/>
          <w:color w:val="171717"/>
          <w:sz w:val="19"/>
        </w:rPr>
        <w:t xml:space="preserve">  Route · Authorize · Test · Promote / Recycle · Recover — the control plane for bounded agentic execution.</w:t>
      </w:r>
    </w:p>
    <w:p>
      <w:pPr>
        <w:pStyle w:val="ResumeBullet"/>
        <w:keepNext w:val="0"/>
        <w:keepLines/>
        <w:widowControl/>
        <w:spacing w:before="0" w:after="38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Implemented quantitative agent selection using task value, success probability, cost, uncertainty, and tail-risk constraints; updated agent trust from observed outcomes.</w:t>
      </w:r>
    </w:p>
    <w:p>
      <w:pPr>
        <w:pStyle w:val="ResumeBullet"/>
        <w:keepNext w:val="0"/>
        <w:keepLines/>
        <w:widowControl/>
        <w:spacing w:before="0" w:after="38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Promoted work through shadow, canary, test, and audit gates; enforced risk-tiered context, tool, and budget access with fail-closed operator release.</w:t>
      </w:r>
    </w:p>
    <w:p>
      <w:pPr>
        <w:pStyle w:val="ResumeBullet"/>
        <w:keepNext w:val="0"/>
        <w:keepLines/>
        <w:widowControl/>
        <w:spacing w:before="0" w:after="22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Built MongoDB ticket/claim ledgers, isolated Git worktrees, deterministic reduction, append-only telemetry, dashboards, rollback, and recovery.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76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Keroro Travel</w:t>
      </w:r>
      <w:r>
        <w:rPr>
          <w:rFonts w:ascii="Consolas" w:hAnsi="Consolas" w:eastAsia="Consolas" w:cs="Consolas"/>
          <w:b/>
          <w:color w:val="6F6A63"/>
          <w:sz w:val="17"/>
        </w:rPr>
        <w:tab/>
        <w:t>Jul 2024 - Present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General Manager | Travel Technology &amp; Systems Architecture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Designed and built a full-stack travel-intelligence web platform (React, FastAPI, MongoDB) with an eight-language interface and an API-backed dataset of 621 curated wedding venues, creating the structured-data foundation for AI-assisted planning.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0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Architected integrations and operating workflows across Expedia TAAP, Fora, supplier platforms, client data, itinerary design, quoting, commissions, booking, and service delivery; built a tour-operator network and converted firsthand luxury-product research into client-ready itineraries.</w:t>
      </w:r>
    </w:p>
    <w:p>
      <w:pPr>
        <w:pStyle w:val="Heading1"/>
        <w:keepNext/>
        <w:keepLines w:val="0"/>
        <w:widowControl/>
        <w:spacing w:before="6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02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SYSTEMS &amp; DELIVERY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AGENTIC PLATFORM  </w:t>
      </w:r>
      <w:r>
        <w:rPr>
          <w:rFonts w:ascii="Segoe UI" w:hAnsi="Segoe UI" w:eastAsia="Segoe UI" w:cs="Segoe UI"/>
          <w:color w:val="171717"/>
          <w:sz w:val="19"/>
        </w:rPr>
        <w:t>Python; MongoDB; REST/JSON; schema-defined tickets; claim ledgers; Git worktrees; deterministic reduction; telemetry; rollback.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ENTERPRISE DELIVERY  </w:t>
      </w:r>
      <w:r>
        <w:rPr>
          <w:rFonts w:ascii="Segoe UI" w:hAnsi="Segoe UI" w:eastAsia="Segoe UI" w:cs="Segoe UI"/>
          <w:color w:val="171717"/>
          <w:sz w:val="19"/>
        </w:rPr>
        <w:t>Workflow mapping; integrations; release coordination; defect and incident triage; technical communication; cross-functional stakeholder alignment.</w:t>
      </w:r>
    </w:p>
    <w:p>
      <w:pPr>
        <w:pStyle w:val="ResumeDetail"/>
        <w:keepNext w:val="0"/>
        <w:keepLines/>
        <w:widowControl/>
        <w:spacing w:before="0" w:after="52" w:line="257" w:lineRule="auto"/>
        <w:ind w:left="0" w:right="0"/>
      </w:pPr>
      <w:r>
        <w:rPr>
          <w:rFonts w:ascii="Georgia" w:hAnsi="Georgia" w:eastAsia="Georgia" w:cs="Georgia"/>
          <w:color w:val="742735"/>
          <w:sz w:val="20"/>
        </w:rPr>
        <w:t xml:space="preserve">DOMAIN SYSTEMS  </w:t>
      </w:r>
      <w:r>
        <w:rPr>
          <w:rFonts w:ascii="Segoe UI" w:hAnsi="Segoe UI" w:eastAsia="Segoe UI" w:cs="Segoe UI"/>
          <w:color w:val="171717"/>
          <w:sz w:val="19"/>
        </w:rPr>
        <w:t>Front Arena; Calypso XVA/ERS; Bloomberg; FactSet; FIX; SQL; XML/XSL; scenario and risk workflows.</w:t>
      </w:r>
    </w:p>
    <w:p>
      <w:pPr>
        <w:pStyle w:val="Heading1"/>
        <w:keepNext/>
        <w:keepLines w:val="0"/>
        <w:pageBreakBefore/>
        <w:widowControl/>
        <w:spacing w:before="8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03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GLOBAL TECHNOLOGY / OPERATIONS / MEDIA</w:t>
      </w:r>
    </w:p>
    <w:p>
      <w:pPr>
        <w:pStyle w:val="ResumeFeaturedLabel"/>
        <w:keepNext/>
        <w:keepLines w:val="0"/>
        <w:widowControl/>
        <w:spacing w:before="30" w:after="32" w:line="240" w:lineRule="auto"/>
        <w:ind w:left="202" w:right="202"/>
        <w:shd w:val="clear" w:color="auto" w:fill="F2EEE7"/>
        <w:pBdr>
          <w:top w:val="single" w:sz="6" w:space="4" w:color="B8A57C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10"/>
        </w:rPr>
        <w:t>WORLD STAGE  /  GLOBAL OPERATIONS, LIVE MEDIA &amp; LANGUAGE</w:t>
      </w:r>
    </w:p>
    <w:p>
      <w:pPr>
        <w:pStyle w:val="ResumeFeatureTitle"/>
        <w:keepNext/>
        <w:keepLines w:val="0"/>
        <w:widowControl/>
        <w:tabs>
          <w:tab w:pos="9965" w:val="right"/>
        </w:tabs>
        <w:spacing w:before="0" w:after="16" w:line="240" w:lineRule="auto"/>
        <w:ind w:left="202" w:right="202"/>
        <w:shd w:val="clear" w:color="auto" w:fill="F2EEE7"/>
      </w:pPr>
      <w:r>
        <w:rPr>
          <w:rFonts w:ascii="Georgia" w:hAnsi="Georgia" w:eastAsia="Georgia" w:cs="Georgia"/>
          <w:color w:val="171717"/>
          <w:sz w:val="30"/>
        </w:rPr>
        <w:t>18th World Xiangqi Championship</w:t>
      </w:r>
      <w:r>
        <w:rPr>
          <w:rFonts w:ascii="Consolas" w:hAnsi="Consolas" w:eastAsia="Consolas" w:cs="Consolas"/>
          <w:b/>
          <w:color w:val="6F6A63"/>
          <w:sz w:val="17"/>
        </w:rPr>
        <w:tab/>
        <w:t>2023</w:t>
      </w:r>
    </w:p>
    <w:p>
      <w:pPr>
        <w:pStyle w:val="ResumeRole"/>
        <w:keepNext/>
        <w:keepLines w:val="0"/>
        <w:widowControl/>
        <w:spacing w:before="0" w:after="30" w:line="240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6F6A63"/>
          <w:sz w:val="19"/>
        </w:rPr>
        <w:t>Organizing Committee  ·  Technical Operations, Trilingual Broadcast &amp; International Delegations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0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Designed, built, and operated the venue technology and Tencent live-stream stack end to end - configuring OBS Studio, establishing broadcast workflows, and coordinating directly with Tencent's technical team through live delivery.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0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Served as the sole overseas MC and Tencent trilingual live-broadcast host/commentator in English, Mandarin, and Cantonese; tournament coverage generated 1M+ cumulative views. Led delegate hospitality and interpreted live for players, referees, consular, elected, and government officials.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4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Invited by Xinhua News Agency (China's state news agency) as the only overseas Xiangqi International Master to contribute signed English coverage; authored the opening and closing championship reports.</w:t>
      </w:r>
    </w:p>
    <w:p>
      <w:pPr>
        <w:pStyle w:val="ResumeDetail"/>
        <w:keepNext w:val="0"/>
        <w:keepLines/>
        <w:widowControl/>
        <w:spacing w:before="0" w:after="30" w:line="240" w:lineRule="auto"/>
        <w:ind w:left="202" w:right="202"/>
        <w:shd w:val="clear" w:color="auto" w:fill="F2EEE7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XINHUA BYLINES  </w:t>
      </w:r>
      <w:hyperlink r:id="rId14" w:history="1">
        <w:r>
          <w:rPr>
            <w:rFonts w:ascii="Segoe UI" w:hAnsi="Segoe UI" w:eastAsia="Segoe UI" w:cs="Segoe UI"/>
            <w:color w:val="632433"/>
            <w:u w:val="single"/>
            <w:sz w:val="18"/>
            <w:szCs w:val="18"/>
          </w:rPr>
          <w:t>Opening report</w:t>
        </w:r>
      </w:hyperlink>
      <w:r>
        <w:rPr>
          <w:rFonts w:ascii="Segoe UI" w:hAnsi="Segoe UI" w:eastAsia="Segoe UI" w:cs="Segoe UI"/>
          <w:color w:val="B8A57C"/>
          <w:sz w:val="18"/>
        </w:rPr>
        <w:t xml:space="preserve">  ·  </w:t>
      </w:r>
      <w:hyperlink r:id="rId15" w:history="1">
        <w:r>
          <w:rPr>
            <w:rFonts w:ascii="Segoe UI" w:hAnsi="Segoe UI" w:eastAsia="Segoe UI" w:cs="Segoe UI"/>
            <w:color w:val="632433"/>
            <w:u w:val="single"/>
            <w:sz w:val="18"/>
            <w:szCs w:val="18"/>
          </w:rPr>
          <w:t>Closing report</w:t>
        </w:r>
      </w:hyperlink>
    </w:p>
    <w:p>
      <w:pPr>
        <w:pStyle w:val="ResumeDetail"/>
        <w:keepNext w:val="0"/>
        <w:keepLines/>
        <w:widowControl/>
        <w:spacing w:before="0" w:after="22" w:line="252" w:lineRule="auto"/>
        <w:ind w:left="202" w:right="202"/>
        <w:shd w:val="clear" w:color="auto" w:fill="F2EEE7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DISTINCTION  </w:t>
      </w:r>
      <w:r>
        <w:rPr>
          <w:rFonts w:ascii="Segoe UI" w:hAnsi="Segoe UI" w:eastAsia="Segoe UI" w:cs="Segoe UI"/>
          <w:color w:val="171717"/>
          <w:sz w:val="18"/>
        </w:rPr>
        <w:t>International Master of Xiangqi (IM 0150) · Represented the United States; placed 14th at the 2019 World Tournament.</w:t>
      </w:r>
    </w:p>
    <w:p>
      <w:pPr>
        <w:pStyle w:val="ResumeDetail"/>
        <w:keepNext w:val="0"/>
        <w:keepLines/>
        <w:widowControl/>
        <w:spacing w:before="0" w:after="56" w:line="252" w:lineRule="auto"/>
        <w:ind w:left="202" w:right="202"/>
        <w:shd w:val="clear" w:color="auto" w:fill="F2EEE7"/>
        <w:pBdr>
          <w:bottom w:val="single" w:sz="6" w:space="4" w:color="B8A57C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COMMUNITY LEADERSHIP  </w:t>
      </w:r>
      <w:r>
        <w:rPr>
          <w:rFonts w:ascii="Segoe UI" w:hAnsi="Segoe UI" w:eastAsia="Segoe UI" w:cs="Segoe UI"/>
          <w:color w:val="171717"/>
          <w:sz w:val="18"/>
        </w:rPr>
        <w:t>Xiangqi Instructor &amp; Community Mentor, San Francisco Public Library - teach strategy and mentor public-program participants across ages and skill levels.</w:t>
      </w:r>
    </w:p>
    <w:p>
      <w:pPr>
        <w:pStyle w:val="Heading1"/>
        <w:keepNext/>
        <w:keepLines w:val="0"/>
        <w:widowControl/>
        <w:spacing w:before="72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04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ENTERPRISE SYSTEMS / RISK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24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Calypso Technology</w:t>
      </w:r>
      <w:r>
        <w:rPr>
          <w:rFonts w:ascii="Consolas" w:hAnsi="Consolas" w:eastAsia="Consolas" w:cs="Consolas"/>
          <w:b/>
          <w:color w:val="6F6A63"/>
          <w:sz w:val="17"/>
        </w:rPr>
        <w:tab/>
        <w:t>Jan 2020 - Jan 2021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QA Engineer - XVA / ERS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Validated monthly Calypso XVA/ERS releases through regression and client-scenario testing; investigated production defects in JIRA, monitored services and outputs, and documented release readiness.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Diagnosed pricing, risk-valuation, and P&amp;L breaks across yield-curve, underlying-price, and FX shocks; supported implementation and release readiness for HKEX, EUREX, MUFG, RBC, HSBC, AIB, Gazprom Bank, and Emirates NBD.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60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Open Door Capital Advisors, LLC</w:t>
      </w:r>
      <w:r>
        <w:rPr>
          <w:rFonts w:ascii="Consolas" w:hAnsi="Consolas" w:eastAsia="Consolas" w:cs="Consolas"/>
          <w:b/>
          <w:color w:val="6F6A63"/>
          <w:sz w:val="17"/>
        </w:rPr>
        <w:tab/>
        <w:t>May 2018 - Jan 2020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Investment Risk and Performance Specialist / Investment Control Specialist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Owned independent risk and performance monitoring for an approximately $500M Greater China hedge fund, producing VaR, stress, liquidity, concentration, attribution, contribution-to-return, and monthly investor reporting.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Evaluated vendor risk models and built custom risk and performance-attribution workflows for Greater China and emerging-market exposures using Bloomberg, FactSet, and R.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60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FIS Global (Formerly SunGard Front Arena)</w:t>
      </w:r>
      <w:r>
        <w:rPr>
          <w:rFonts w:ascii="Consolas" w:hAnsi="Consolas" w:eastAsia="Consolas" w:cs="Consolas"/>
          <w:b/>
          <w:color w:val="6F6A63"/>
          <w:sz w:val="17"/>
        </w:rPr>
        <w:tab/>
        <w:t>Jun 2015 - Apr 2018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Trading Application Support Analyst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Built and customized FIX interfaces, Bloomberg loaders, FTP/SFTP feeds, and Python/XSL mappings that sustained trade flow across prime brokers, Front Arena, downstream brokers, and fund administrators.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0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Owned client-facing diagnosis and recovery for pricing, P&amp;L, risk, and end-of-day breaks across yield curves, volatility surfaces, Greeks, structured products, compliance, and risk modules.</w:t>
      </w:r>
    </w:p>
    <w:p>
      <w:pPr>
        <w:pStyle w:val="Heading1"/>
        <w:keepNext/>
        <w:keepLines w:val="0"/>
        <w:widowControl/>
        <w:spacing w:before="6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05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EDUCATION / CREDENTIALS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22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University of California, Los Angeles (UCLA)</w:t>
      </w:r>
      <w:r>
        <w:rPr>
          <w:rFonts w:ascii="Consolas" w:hAnsi="Consolas" w:eastAsia="Consolas" w:cs="Consolas"/>
          <w:b/>
          <w:color w:val="6F6A63"/>
          <w:sz w:val="17"/>
        </w:rPr>
        <w:tab/>
        <w:t>Class of 2014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Bachelor's degree, Mathematics/Economics · Minor in Statistics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CERTIFICATIONS  </w:t>
      </w:r>
      <w:r>
        <w:rPr>
          <w:rFonts w:ascii="Segoe UI" w:hAnsi="Segoe UI" w:eastAsia="Segoe UI" w:cs="Segoe UI"/>
          <w:color w:val="171717"/>
          <w:sz w:val="19"/>
        </w:rPr>
        <w:t>FIS/SunGard Front Arena AEF Base Certified Developer; CFA Claritas Investment Certificate</w:t>
      </w:r>
    </w:p>
    <w:p>
      <w:pPr>
        <w:pStyle w:val="ResumeDetail"/>
        <w:keepNext w:val="0"/>
        <w:keepLines/>
        <w:widowControl/>
        <w:spacing w:before="0" w:after="52" w:line="257" w:lineRule="auto"/>
        <w:ind w:left="0" w:right="0"/>
      </w:pPr>
      <w:r>
        <w:rPr>
          <w:rFonts w:ascii="Georgia" w:hAnsi="Georgia" w:eastAsia="Georgia" w:cs="Georgia"/>
          <w:color w:val="742735"/>
          <w:sz w:val="20"/>
        </w:rPr>
        <w:t xml:space="preserve">LANGUAGES  </w:t>
      </w:r>
      <w:r>
        <w:rPr>
          <w:rFonts w:ascii="Segoe UI" w:hAnsi="Segoe UI" w:eastAsia="Segoe UI" w:cs="Segoe UI"/>
          <w:color w:val="171717"/>
          <w:sz w:val="19"/>
        </w:rPr>
        <w:t>English - full professional proficiency; Cantonese and Mandarin - native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792" w:right="936" w:bottom="792" w:left="936" w:header="360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umeFooter"/>
      <w:keepNext w:val="0"/>
      <w:keepLines w:val="0"/>
      <w:widowControl/>
      <w:tabs>
        <w:tab w:pos="10368" w:val="right"/>
      </w:tabs>
      <w:spacing w:before="20" w:after="60" w:line="240" w:lineRule="auto"/>
      <w:ind w:left="0" w:right="0"/>
      <w:jc w:val="left"/>
      <w:pBdr>
        <w:bottom w:val="single" w:sz="4" w:space="3" w:color="B8A57C"/>
      </w:pBdr>
    </w:pPr>
    <w:r/>
    <w:r>
      <w:rPr>
        <w:rFonts w:ascii="Consolas" w:hAnsi="Consolas" w:eastAsia="Consolas" w:cs="Consolas"/>
        <w:color w:val="6F6A63"/>
        <w:sz w:val="15"/>
        <w:spacing w:val="8"/>
      </w:rPr>
      <w:t>STEPHEN CHO / AI SYSTEMS ARCHITECT</w:t>
    </w:r>
    <w:r>
      <w:rPr>
        <w:rFonts w:ascii="Georgia" w:hAnsi="Georgia" w:eastAsia="Georgia" w:cs="Georgia"/>
        <w:color w:val="742735"/>
        <w:sz w:val="26"/>
      </w:rPr>
      <w:tab/>
      <w:t>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00"/>
        </w:tabs>
        <w:ind w:left="300" w:hanging="150"/>
      </w:pPr>
      <w:rPr>
        <w:rFonts w:ascii="Segoe UI" w:hAnsi="Segoe UI"/>
        <w:color w:val="74273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3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7" w:lineRule="auto"/>
    </w:pPr>
    <w:rPr>
      <w:rFonts w:ascii="Segoe UI" w:hAnsi="Segoe UI" w:eastAsia="Segoe UI"/>
      <w:b w:val="0"/>
      <w:i w:val="0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Segoe UI Semibold" w:hAnsi="Segoe UI Semibold" w:eastAsia="Segoe UI Semibold"/>
      <w:b/>
      <w:bCs/>
      <w:i w:val="0"/>
      <w:color w:val="171717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i w:val="0"/>
      <w:color w:val="17171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i w:val="0"/>
      <w:color w:val="6F6A6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26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 w:val="0"/>
      <w:i w:val="0"/>
      <w:color w:val="17171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Segoe UI Semibold" w:hAnsi="Segoe UI Semibold" w:eastAsia="Segoe UI Semibold"/>
      <w:b/>
      <w:i w:val="0"/>
      <w:iCs/>
      <w:color w:val="74273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Kicker">
    <w:name w:val="Resume Kicker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16"/>
    </w:rPr>
  </w:style>
  <w:style w:type="paragraph" w:customStyle="1" w:styleId="ResumeName">
    <w:name w:val="Resume Nam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68"/>
    </w:rPr>
  </w:style>
  <w:style w:type="paragraph" w:customStyle="1" w:styleId="ResumeTagline">
    <w:name w:val="Resume Tagline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24"/>
    </w:rPr>
  </w:style>
  <w:style w:type="paragraph" w:customStyle="1" w:styleId="ResumeContact">
    <w:name w:val="Resume Contact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6F6A63"/>
      <w:sz w:val="18"/>
    </w:rPr>
  </w:style>
  <w:style w:type="paragraph" w:customStyle="1" w:styleId="ResumeSignal">
    <w:name w:val="Resume Signal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6F6A63"/>
      <w:sz w:val="16"/>
    </w:rPr>
  </w:style>
  <w:style w:type="paragraph" w:customStyle="1" w:styleId="ResumeHero">
    <w:name w:val="Resume Hero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30"/>
    </w:rPr>
  </w:style>
  <w:style w:type="paragraph" w:customStyle="1" w:styleId="ResumeEvidence">
    <w:name w:val="Resume Evidence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6F6A63"/>
      <w:sz w:val="16"/>
    </w:rPr>
  </w:style>
  <w:style w:type="paragraph" w:customStyle="1" w:styleId="ResumeCompany">
    <w:name w:val="Resume Company"/>
    <w:basedOn w:val="Normal"/>
    <w:pPr>
      <w:spacing w:before="0" w:after="0" w:line="254" w:lineRule="auto"/>
    </w:pPr>
    <w:rPr>
      <w:rFonts w:ascii="Georgia" w:hAnsi="Georgia" w:eastAsia="Georgia"/>
      <w:b/>
      <w:i w:val="0"/>
      <w:color w:val="171717"/>
      <w:sz w:val="22"/>
    </w:rPr>
  </w:style>
  <w:style w:type="paragraph" w:customStyle="1" w:styleId="ResumeRole">
    <w:name w:val="Resume Role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6F6A63"/>
      <w:sz w:val="19"/>
    </w:rPr>
  </w:style>
  <w:style w:type="paragraph" w:customStyle="1" w:styleId="ResumeBullet">
    <w:name w:val="Resume Bullet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171717"/>
      <w:sz w:val="19"/>
    </w:rPr>
  </w:style>
  <w:style w:type="paragraph" w:customStyle="1" w:styleId="ResumeDetail">
    <w:name w:val="Resume Detail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171717"/>
      <w:sz w:val="19"/>
    </w:rPr>
  </w:style>
  <w:style w:type="paragraph" w:customStyle="1" w:styleId="ResumeFeaturedLabel">
    <w:name w:val="Resume Featured Label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16"/>
    </w:rPr>
  </w:style>
  <w:style w:type="paragraph" w:customStyle="1" w:styleId="ResumeArchitecture">
    <w:name w:val="Resume Architectur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21"/>
    </w:rPr>
  </w:style>
  <w:style w:type="paragraph" w:customStyle="1" w:styleId="ResumeFeatureTitle">
    <w:name w:val="Resume Feature Titl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30"/>
    </w:rPr>
  </w:style>
  <w:style w:type="paragraph" w:customStyle="1" w:styleId="ResumeFooter">
    <w:name w:val="Resume Footer"/>
    <w:basedOn w:val="Normal"/>
    <w:pPr>
      <w:spacing w:before="0" w:after="0" w:line="254" w:lineRule="auto"/>
    </w:pPr>
    <w:rPr>
      <w:rFonts w:ascii="Consolas" w:hAnsi="Consolas" w:eastAsia="Consolas"/>
      <w:b w:val="0"/>
      <w:i w:val="0"/>
      <w:color w:val="6F6A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linkedin.com/in/stephen-cho-50226699" TargetMode="External"/><Relationship Id="rId14" Type="http://schemas.openxmlformats.org/officeDocument/2006/relationships/hyperlink" Target="https://english.news.cn/20231122/6d1d9d39de224f4ab77c066e2427cf7e/c.html" TargetMode="External"/><Relationship Id="rId15" Type="http://schemas.openxmlformats.org/officeDocument/2006/relationships/hyperlink" Target="https://english.news.cn/20231126/20c73fa3f10940aa880e24482bd0c7d5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Stephen Cho - AI Systems Architect Resume</dc:title>
  <dc:subject>Agentic workflows, AI platforms, governance controls, product architecture, and technical operations</dc:subject>
  <dc:creator>Stephen Cho</dc:creator>
  <cp:keywords>AI systems architect, agentic workflows, AI platforms, governance, technical operations, product architecture, Python, MongoDB, REST, FIX, Calypso, Front Arena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