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Kicker"/>
        <w:keepNext/>
        <w:keepLines w:val="0"/>
        <w:widowControl/>
        <w:spacing w:before="20" w:after="80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8"/>
        </w:rPr>
        <w:t>QUANTITATIVE CONTROL FOR AGENTIC SYSTEMS</w:t>
      </w:r>
    </w:p>
    <w:p>
      <w:pPr>
        <w:pStyle w:val="ResumeName"/>
        <w:keepNext/>
        <w:keepLines w:val="0"/>
        <w:widowControl/>
        <w:spacing w:before="0" w:after="20" w:line="226" w:lineRule="auto"/>
        <w:ind w:left="0" w:right="0"/>
      </w:pPr>
      <w:r>
        <w:rPr>
          <w:rFonts w:ascii="Georgia" w:hAnsi="Georgia" w:eastAsia="Georgia" w:cs="Georgia"/>
          <w:color w:val="171717"/>
          <w:sz w:val="68"/>
        </w:rPr>
        <w:t>Stephen Cho</w:t>
      </w:r>
    </w:p>
    <w:p>
      <w:pPr>
        <w:pStyle w:val="ResumeTagline"/>
        <w:keepNext/>
        <w:keepLines w:val="0"/>
        <w:widowControl/>
        <w:spacing w:before="0" w:after="5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24"/>
        </w:rPr>
        <w:t>AI Governance &amp; Systems Architect  ·  Capital Markets Risk</w:t>
      </w:r>
    </w:p>
    <w:p>
      <w:pPr>
        <w:pStyle w:val="ResumeContact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8"/>
        </w:rPr>
        <w:t xml:space="preserve">San Francisco, CA  /  (415) 699-4064  /  stephenchung29@gmail.com  /  </w:t>
      </w:r>
      <w:hyperlink r:id="rId13" w:history="1">
        <w:r>
          <w:rPr>
            <w:rFonts w:ascii="Segoe UI" w:hAnsi="Segoe UI" w:eastAsia="Segoe UI" w:cs="Segoe UI"/>
            <w:color w:val="632433"/>
            <w:u w:val="none"/>
            <w:sz w:val="18"/>
            <w:szCs w:val="18"/>
          </w:rPr>
          <w:t>linkedin.com/in/stephen-cho-50226699</w:t>
        </w:r>
      </w:hyperlink>
    </w:p>
    <w:p>
      <w:pPr>
        <w:keepNext/>
        <w:keepLines w:val="0"/>
        <w:widowControl/>
        <w:spacing w:before="0" w:after="120" w:line="240" w:lineRule="auto"/>
        <w:ind w:left="0" w:right="6120"/>
        <w:pBdr>
          <w:bottom w:val="single" w:sz="6" w:space="1" w:color="B8A57C"/>
        </w:pBdr>
      </w:pPr>
    </w:p>
    <w:p>
      <w:pPr>
        <w:pStyle w:val="ResumeHero"/>
        <w:keepNext w:val="0"/>
        <w:keepLines/>
        <w:widowControl/>
        <w:spacing w:before="10" w:after="68" w:line="259" w:lineRule="auto"/>
        <w:ind w:left="0" w:right="0"/>
      </w:pPr>
      <w:r>
        <w:rPr>
          <w:rFonts w:ascii="Georgia" w:hAnsi="Georgia" w:eastAsia="Georgia" w:cs="Georgia"/>
          <w:color w:val="171717"/>
          <w:sz w:val="30"/>
        </w:rPr>
        <w:t>Designed QuantChoAI by translating a decade of capital-markets platform, risk-model, and control-workflow experience into a two-layer financial AI operating system for risk-aware routing, bounded authority, evidence gates, staged promotion, and recoverable execution.</w:t>
      </w:r>
    </w:p>
    <w:p>
      <w:pPr>
        <w:pStyle w:val="ResumeEvidence"/>
        <w:keepNext w:val="0"/>
        <w:keepLines/>
        <w:widowControl/>
        <w:spacing w:before="0" w:after="11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6F6A63"/>
          <w:sz w:val="16"/>
          <w:spacing w:val="8"/>
        </w:rPr>
        <w:t>10+ YEARS  ·  FRONT ARENA + CALYPSO  ·  ~$500M FUND  ·  QUANTCHOAI</w:t>
      </w:r>
    </w:p>
    <w:p>
      <w:pPr>
        <w:pStyle w:val="Heading1"/>
        <w:keepNext/>
        <w:keepLines w:val="0"/>
        <w:widowControl/>
        <w:spacing w:before="5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</w:t>
      </w:r>
    </w:p>
    <w:p>
      <w:pPr>
        <w:pStyle w:val="ResumeFeaturedLabel"/>
        <w:keepNext/>
        <w:keepLines w:val="0"/>
        <w:widowControl/>
        <w:spacing w:before="40" w:after="3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9"/>
        </w:rPr>
        <w:t>SIGNATURE SYSTEM  —  TWO-LAYER FINANCIAL AI OPERATING SYSTEM  ·  FAIL-CLOSED</w:t>
      </w:r>
    </w:p>
    <w:p>
      <w:pPr>
        <w:pStyle w:val="ResumeCompany"/>
        <w:keepNext/>
        <w:keepLines w:val="0"/>
        <w:widowControl/>
        <w:tabs>
          <w:tab w:pos="9965" w:val="right"/>
        </w:tabs>
        <w:spacing w:before="20" w:after="1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b/>
          <w:color w:val="171717"/>
          <w:sz w:val="22"/>
        </w:rPr>
        <w:t>QuantChoAI LLC</w:t>
      </w:r>
      <w:r>
        <w:rPr>
          <w:rFonts w:ascii="Consolas" w:hAnsi="Consolas" w:eastAsia="Consolas" w:cs="Consolas"/>
          <w:b/>
          <w:color w:val="6F6A63"/>
          <w:sz w:val="17"/>
        </w:rPr>
        <w:tab/>
        <w:t>Apr 2025 -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color w:val="6F6A63"/>
          <w:sz w:val="19"/>
        </w:rPr>
        <w:t>AI Governance Architect &amp; Product Lead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I. CLIENT EXPERIENCE OS</w:t>
      </w:r>
      <w:r>
        <w:rPr>
          <w:rFonts w:ascii="Segoe UI" w:hAnsi="Segoe UI" w:eastAsia="Segoe UI" w:cs="Segoe UI"/>
          <w:color w:val="171717"/>
          <w:sz w:val="19"/>
        </w:rPr>
        <w:t xml:space="preserve">  Dashboard · Positions · Risk · Subledger — market/risk state, decisions, provenance, and audit context.</w:t>
      </w:r>
    </w:p>
    <w:p>
      <w:pPr>
        <w:pStyle w:val="ResumeFeaturedLabel"/>
        <w:keepNext w:val="0"/>
        <w:keepLines/>
        <w:widowControl/>
        <w:spacing w:before="0" w:after="20" w:line="240" w:lineRule="auto"/>
        <w:ind w:left="202" w:right="202"/>
        <w:jc w:val="center"/>
        <w:shd w:val="clear" w:color="auto" w:fill="F2EEE7"/>
        <w:pBdr>
          <w:left w:val="single" w:sz="14" w:space="6" w:color="742735"/>
          <w:top w:val="single" w:sz="2" w:space="2" w:color="D8D0C3"/>
          <w:bottom w:val="single" w:sz="2" w:space="2" w:color="D8D0C3"/>
        </w:pBdr>
      </w:pPr>
      <w:r>
        <w:rPr>
          <w:rFonts w:ascii="Segoe UI Semibold" w:hAnsi="Segoe UI Semibold" w:eastAsia="Segoe UI Semibold" w:cs="Segoe UI Semibold"/>
          <w:b/>
          <w:color w:val="6F6A63"/>
          <w:sz w:val="15"/>
          <w:spacing w:val="12"/>
        </w:rPr>
        <w:t>SCHEMA-DEFINED TICKETS + BOUNDED AUTHORITY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II. AGENT GOVERNANCE OS</w:t>
      </w:r>
      <w:r>
        <w:rPr>
          <w:rFonts w:ascii="Segoe UI" w:hAnsi="Segoe UI" w:eastAsia="Segoe UI" w:cs="Segoe UI"/>
          <w:color w:val="171717"/>
          <w:sz w:val="19"/>
        </w:rPr>
        <w:t xml:space="preserve">  Route · Authorize · Test · Promote / Recycle · Recover — the control layer behind the client experience.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Designed quantitative decision models for agent selection, trust, and authority by combining expected task value, success likelihood, cost, uncertainty, and tail risk (CVaR-aware routing; Bayesian/Elo-style trust updates).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Designed and implemented governance for schema-defined workflows through risk tiers, shadow-to-canary-to-full promotion, bounded recycle/replacement, test and audit gates, and operator approval for money or irreversible actions.</w:t>
      </w:r>
    </w:p>
    <w:p>
      <w:pPr>
        <w:pStyle w:val="ResumeBullet"/>
        <w:keepNext w:val="0"/>
        <w:keepLines/>
        <w:widowControl/>
        <w:spacing w:before="0" w:after="22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Implemented MongoDB ticket/claim ledgers, isolated Git worktrees, deterministic reduction, fail-closed validation, append-only outcome telemetry, dashboards, and recovery controls.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76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Calypso Technology</w:t>
      </w:r>
      <w:r>
        <w:rPr>
          <w:rFonts w:ascii="Consolas" w:hAnsi="Consolas" w:eastAsia="Consolas" w:cs="Consolas"/>
          <w:b/>
          <w:color w:val="6F6A63"/>
          <w:sz w:val="17"/>
        </w:rPr>
        <w:tab/>
        <w:t>Jan 2020 - Jan 2021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QA Engineer - XVA / ERS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Validated monthly Calypso XVA/ERS releases through regression and client-scenario testing; investigated production defects in JIRA, monitored services and outputs, and documented release readiness.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Diagnosed pricing, risk-valuation, and P&amp;L breaks using Calypso Scenario Engine and Monte Carlo matrices across yield-curve, underlying-price, and FX shocks; verified calculations, scenario outputs, and client configurations.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Supported risk and compliance implementations across global banks, exchanges, and market infrastructures - including HKEX, EUREX, MUFG, RBC, HSBC, AIB, Gazprom Bank, and Emirates NBD - through upgrades, patches, configuration, and regulatory-module changes.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8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Open Door Capital Advisors, LLC</w:t>
      </w:r>
      <w:r>
        <w:rPr>
          <w:rFonts w:ascii="Consolas" w:hAnsi="Consolas" w:eastAsia="Consolas" w:cs="Consolas"/>
          <w:b/>
          <w:color w:val="6F6A63"/>
          <w:sz w:val="17"/>
        </w:rPr>
        <w:tab/>
        <w:t>May 2018 - Jan 2020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Investment Risk and Performance Specialist / Investment Control Specialist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Owned independent risk and performance monitoring for an approximately $500M Greater China hedge fund, producing VaR, stress, liquidity, concentration, attribution, due-diligence, contribution-to-return, and monthly investor reporting.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Evaluated vendor risk models and developed custom factors for Greater China and emerging-market exposures; built risk and performance-attribution workflows using Bloomberg, FactSet, and R.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Served as a daily investment-control point for swap, cash, and securities approvals; pre- and post-trade compliance; booking, allocation, settlement, reconciliation, margin monitoring, and broker escalation.</w:t>
      </w:r>
    </w:p>
    <w:p>
      <w:pPr>
        <w:pStyle w:val="Heading1"/>
        <w:keepNext/>
        <w:keepLines w:val="0"/>
        <w:pageBreakBefore/>
        <w:widowControl/>
        <w:spacing w:before="8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 / CONTINUED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4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FIS Global (Formerly SunGard Front Arena)</w:t>
      </w:r>
      <w:r>
        <w:rPr>
          <w:rFonts w:ascii="Consolas" w:hAnsi="Consolas" w:eastAsia="Consolas" w:cs="Consolas"/>
          <w:b/>
          <w:color w:val="6F6A63"/>
          <w:sz w:val="17"/>
        </w:rPr>
        <w:tab/>
        <w:t>Jun 2015 - Apr 2018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Trading Application Support Analyst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Built and customized FIX interfaces, Bloomberg data loaders, FTP/SFTP feeds, and Python/XSL mappings that sustained trade flow across prime brokers, Front Arena, downstream brokers, and fund administrators.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Owned client-facing diagnosis and recovery for pricing, P&amp;L, risk, and end-of-day breaks across yield curves, volatility surfaces, Greeks, and structured products; customized workbooks and automated reporting.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Strengthened pre- and post-trade controls by configuring compliance rules and risk modules across market, liquidity, counterparty, operational, and regulatory requirements; partnered with core development on reusable functionality.</w:t>
      </w:r>
    </w:p>
    <w:p>
      <w:pPr>
        <w:pStyle w:val="Heading1"/>
        <w:keepNext/>
        <w:keepLines w:val="0"/>
        <w:widowControl/>
        <w:spacing w:before="76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02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QUANTCHOAI / APPLIED GOVERNANCE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ROUTE  </w:t>
      </w:r>
      <w:r>
        <w:rPr>
          <w:rFonts w:ascii="Segoe UI" w:hAnsi="Segoe UI" w:eastAsia="Segoe UI" w:cs="Segoe UI"/>
          <w:color w:val="171717"/>
          <w:sz w:val="19"/>
        </w:rPr>
        <w:t>Implemented risk-aware agent selection using task value, success probability, cost, uncertainty, and CVaR budgets.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PROVE  </w:t>
      </w:r>
      <w:r>
        <w:rPr>
          <w:rFonts w:ascii="Segoe UI" w:hAnsi="Segoe UI" w:eastAsia="Segoe UI" w:cs="Segoe UI"/>
          <w:color w:val="171717"/>
          <w:sz w:val="19"/>
        </w:rPr>
        <w:t>Promoted work through shadow, canary, test, and audit gates; updated agent trust from observed outcomes.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AUTHORIZE  </w:t>
      </w:r>
      <w:r>
        <w:rPr>
          <w:rFonts w:ascii="Segoe UI" w:hAnsi="Segoe UI" w:eastAsia="Segoe UI" w:cs="Segoe UI"/>
          <w:color w:val="171717"/>
          <w:sz w:val="19"/>
        </w:rPr>
        <w:t>Enforced risk-tiered context, tool, and budget access with fail-closed operator release.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WORKING PLATFORM  </w:t>
      </w:r>
      <w:r>
        <w:rPr>
          <w:rFonts w:ascii="Segoe UI" w:hAnsi="Segoe UI" w:eastAsia="Segoe UI" w:cs="Segoe UI"/>
          <w:color w:val="171717"/>
          <w:sz w:val="19"/>
        </w:rPr>
        <w:t>Python, MongoDB, REST, claim ledgers, Git worktrees, deterministic reduction, rollback, recovery.</w:t>
      </w:r>
    </w:p>
    <w:p>
      <w:pPr>
        <w:pStyle w:val="Heading1"/>
        <w:keepNext/>
        <w:keepLines w:val="0"/>
        <w:widowControl/>
        <w:spacing w:before="76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03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GLOBAL TECHNOLOGY / OPERATIONS / MEDIA</w:t>
      </w:r>
    </w:p>
    <w:p>
      <w:pPr>
        <w:pStyle w:val="ResumeFeaturedLabel"/>
        <w:keepNext/>
        <w:keepLines w:val="0"/>
        <w:widowControl/>
        <w:spacing w:before="30" w:after="32" w:line="240" w:lineRule="auto"/>
        <w:ind w:left="202" w:right="202"/>
        <w:shd w:val="clear" w:color="auto" w:fill="F2EEE7"/>
        <w:pBdr>
          <w:top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0"/>
        </w:rPr>
        <w:t>WORLD STAGE  /  GLOBAL OPERATIONS, LIVE MEDIA &amp; LANGUAGE</w:t>
      </w:r>
    </w:p>
    <w:p>
      <w:pPr>
        <w:pStyle w:val="ResumeFeatureTitle"/>
        <w:keepNext/>
        <w:keepLines w:val="0"/>
        <w:widowControl/>
        <w:tabs>
          <w:tab w:pos="9965" w:val="right"/>
        </w:tabs>
        <w:spacing w:before="0" w:after="16" w:line="240" w:lineRule="auto"/>
        <w:ind w:left="202" w:right="202"/>
        <w:shd w:val="clear" w:color="auto" w:fill="F2EEE7"/>
      </w:pPr>
      <w:r>
        <w:rPr>
          <w:rFonts w:ascii="Georgia" w:hAnsi="Georgia" w:eastAsia="Georgia" w:cs="Georgia"/>
          <w:color w:val="171717"/>
          <w:sz w:val="30"/>
        </w:rPr>
        <w:t>18th World Xiangqi Championship</w:t>
      </w:r>
      <w:r>
        <w:rPr>
          <w:rFonts w:ascii="Consolas" w:hAnsi="Consolas" w:eastAsia="Consolas" w:cs="Consolas"/>
          <w:b/>
          <w:color w:val="6F6A63"/>
          <w:sz w:val="17"/>
        </w:rPr>
        <w:tab/>
        <w:t>2023</w:t>
      </w:r>
    </w:p>
    <w:p>
      <w:pPr>
        <w:pStyle w:val="ResumeRole"/>
        <w:keepNext/>
        <w:keepLines w:val="0"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6F6A63"/>
          <w:sz w:val="19"/>
        </w:rPr>
        <w:t>Organizing Committee  ·  Venue Technology, Broadcast &amp; International Operations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Designed, built, and operated the venue technology and Tencent live-stream stack end to end—configuring OBS Studio, establishing broadcast workflows, and coordinating directly with Tencent's technical team through live event delivery.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Served as the sole overseas MC and Tencent trilingual live-broadcast host/commentator in English, Mandarin, and Cantonese; tournament coverage generated 1M+ cumulative views. Led delegate hospitality and interpreted live for players, referees, consular, elected, and government officials.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4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Invited by Xinhua News Agency—China's state news agency—as the only overseas Xiangqi International Master to contribute signed English coverage; authored the opening and closing championship reports.</w:t>
      </w:r>
    </w:p>
    <w:p>
      <w:pPr>
        <w:pStyle w:val="ResumeDetail"/>
        <w:keepNext w:val="0"/>
        <w:keepLines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XINHUA BYLINES  </w:t>
      </w:r>
      <w:hyperlink r:id="rId14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Opening report</w:t>
        </w:r>
      </w:hyperlink>
      <w:r>
        <w:rPr>
          <w:rFonts w:ascii="Segoe UI" w:hAnsi="Segoe UI" w:eastAsia="Segoe UI" w:cs="Segoe UI"/>
          <w:color w:val="B8A57C"/>
          <w:sz w:val="18"/>
        </w:rPr>
        <w:t xml:space="preserve">  ·  </w:t>
      </w:r>
      <w:hyperlink r:id="rId15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Closing report</w:t>
        </w:r>
      </w:hyperlink>
    </w:p>
    <w:p>
      <w:pPr>
        <w:pStyle w:val="ResumeDetail"/>
        <w:keepNext w:val="0"/>
        <w:keepLines/>
        <w:widowControl/>
        <w:spacing w:before="0" w:after="22" w:line="252" w:lineRule="auto"/>
        <w:ind w:left="202" w:right="202"/>
        <w:shd w:val="clear" w:color="auto" w:fill="F2EEE7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DISTINCTION  </w:t>
      </w:r>
      <w:r>
        <w:rPr>
          <w:rFonts w:ascii="Segoe UI" w:hAnsi="Segoe UI" w:eastAsia="Segoe UI" w:cs="Segoe UI"/>
          <w:color w:val="171717"/>
          <w:sz w:val="18"/>
        </w:rPr>
        <w:t>International Master of Xiangqi (IM 0150) · Represented the United States; placed 14th at the 2019 World Tournament.</w:t>
      </w:r>
    </w:p>
    <w:p>
      <w:pPr>
        <w:pStyle w:val="ResumeDetail"/>
        <w:keepNext w:val="0"/>
        <w:keepLines/>
        <w:widowControl/>
        <w:spacing w:before="0" w:after="56" w:line="252" w:lineRule="auto"/>
        <w:ind w:left="202" w:right="202"/>
        <w:shd w:val="clear" w:color="auto" w:fill="F2EEE7"/>
        <w:pBdr>
          <w:bottom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COMMUNITY LEADERSHIP  </w:t>
      </w:r>
      <w:r>
        <w:rPr>
          <w:rFonts w:ascii="Segoe UI" w:hAnsi="Segoe UI" w:eastAsia="Segoe UI" w:cs="Segoe UI"/>
          <w:color w:val="171717"/>
          <w:sz w:val="18"/>
        </w:rPr>
        <w:t>Xiangqi Instructor &amp; Community Mentor, San Francisco Public Library - teach strategy and mentor public-program participants across ages and skill levels.</w:t>
      </w:r>
    </w:p>
    <w:p>
      <w:pPr>
        <w:pStyle w:val="Heading1"/>
        <w:keepNext/>
        <w:keepLines w:val="0"/>
        <w:widowControl/>
        <w:spacing w:before="64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04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PRODUCT / TRAVEL TECHNOLOGY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4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Keroro Travel</w:t>
      </w:r>
      <w:r>
        <w:rPr>
          <w:rFonts w:ascii="Consolas" w:hAnsi="Consolas" w:eastAsia="Consolas" w:cs="Consolas"/>
          <w:b/>
          <w:color w:val="6F6A63"/>
          <w:sz w:val="17"/>
        </w:rPr>
        <w:tab/>
        <w:t>Jul 2024 -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General Manager | Travel Technology &amp; Systems Architecture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Built a full-stack travel-intelligence web platform (React, FastAPI, MongoDB) with an eight-language interface and API-backed data for 621 curated wedding venues—the foundation for AI-assisted planning.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Architected Expedia TAAP, Fora, and supplier-platform integrations across client data, itineraries, quoting, commissions, booking, and service delivery; built a tour-operator network and turned firsthand luxury research into client-ready itineraries.</w:t>
      </w:r>
    </w:p>
    <w:p>
      <w:pPr>
        <w:pStyle w:val="Heading1"/>
        <w:keepNext/>
        <w:keepLines w:val="0"/>
        <w:widowControl/>
        <w:spacing w:before="64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05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EDUCATION / CREDENTIALS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2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University of California, Los Angeles (UCLA)</w:t>
      </w:r>
      <w:r>
        <w:rPr>
          <w:rFonts w:ascii="Consolas" w:hAnsi="Consolas" w:eastAsia="Consolas" w:cs="Consolas"/>
          <w:b/>
          <w:color w:val="6F6A63"/>
          <w:sz w:val="17"/>
        </w:rPr>
        <w:tab/>
        <w:t>Class of 2014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Bachelor's degree, Mathematics/Economics · Minor in Statistics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CERTIFICATIONS  </w:t>
      </w:r>
      <w:r>
        <w:rPr>
          <w:rFonts w:ascii="Segoe UI" w:hAnsi="Segoe UI" w:eastAsia="Segoe UI" w:cs="Segoe UI"/>
          <w:color w:val="171717"/>
          <w:sz w:val="19"/>
        </w:rPr>
        <w:t>FIS/SunGard Front Arena AEF Base Certified Developer; CFA Claritas Investment Certificate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LANGUAGES  </w:t>
      </w:r>
      <w:r>
        <w:rPr>
          <w:rFonts w:ascii="Segoe UI" w:hAnsi="Segoe UI" w:eastAsia="Segoe UI" w:cs="Segoe UI"/>
          <w:color w:val="171717"/>
          <w:sz w:val="19"/>
        </w:rPr>
        <w:t>English — full professional proficiency; Cantonese and Mandarin — native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792" w:right="936" w:bottom="792" w:left="936" w:header="360" w:footer="25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umeFooter"/>
      <w:keepNext w:val="0"/>
      <w:keepLines w:val="0"/>
      <w:widowControl/>
      <w:tabs>
        <w:tab w:pos="10368" w:val="right"/>
      </w:tabs>
      <w:spacing w:before="20" w:after="60" w:line="240" w:lineRule="auto"/>
      <w:ind w:left="0" w:right="0"/>
      <w:jc w:val="left"/>
      <w:pBdr>
        <w:bottom w:val="single" w:sz="4" w:space="3" w:color="B8A57C"/>
      </w:pBdr>
    </w:pPr>
    <w:r/>
    <w:r>
      <w:rPr>
        <w:rFonts w:ascii="Consolas" w:hAnsi="Consolas" w:eastAsia="Consolas" w:cs="Consolas"/>
        <w:color w:val="6F6A63"/>
        <w:sz w:val="15"/>
        <w:spacing w:val="8"/>
      </w:rPr>
      <w:t>STEPHEN CHO / AI GOVERNANCE &amp; SYSTEMS ARCHITECT</w:t>
    </w:r>
    <w:r>
      <w:rPr>
        <w:rFonts w:ascii="Georgia" w:hAnsi="Georgia" w:eastAsia="Georgia" w:cs="Georgia"/>
        <w:color w:val="742735"/>
        <w:sz w:val="26"/>
      </w:rPr>
      <w:tab/>
      <w:t>02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00"/>
        </w:tabs>
        <w:ind w:left="300" w:hanging="150"/>
      </w:pPr>
      <w:rPr>
        <w:rFonts w:ascii="Segoe UI" w:hAnsi="Segoe UI"/>
        <w:color w:val="742735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36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7" w:lineRule="auto"/>
    </w:pPr>
    <w:rPr>
      <w:rFonts w:ascii="Segoe UI" w:hAnsi="Segoe UI" w:eastAsia="Segoe UI"/>
      <w:b w:val="0"/>
      <w:i w:val="0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 w:ascii="Segoe UI Semibold" w:hAnsi="Segoe UI Semibold" w:eastAsia="Segoe UI Semibold"/>
      <w:b/>
      <w:bCs/>
      <w:i w:val="0"/>
      <w:color w:val="171717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17171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240" w:lineRule="auto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6F6A6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26" w:lineRule="auto" w:before="0"/>
      <w:contextualSpacing/>
    </w:pPr>
    <w:rPr>
      <w:rFonts w:asciiTheme="majorHAnsi" w:eastAsiaTheme="majorEastAsia" w:hAnsiTheme="majorHAnsi" w:cstheme="majorBidi" w:ascii="Georgia" w:hAnsi="Georgia" w:eastAsia="Georgia"/>
      <w:b w:val="0"/>
      <w:i w:val="0"/>
      <w:color w:val="171717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 w:line="240" w:lineRule="auto"/>
    </w:pPr>
    <w:rPr>
      <w:rFonts w:asciiTheme="majorHAnsi" w:eastAsiaTheme="majorEastAsia" w:hAnsiTheme="majorHAnsi" w:cstheme="majorBidi" w:ascii="Segoe UI Semibold" w:hAnsi="Segoe UI Semibold" w:eastAsia="Segoe UI Semibold"/>
      <w:b/>
      <w:i w:val="0"/>
      <w:iCs/>
      <w:color w:val="74273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Kicker">
    <w:name w:val="Resume Kicker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Name">
    <w:name w:val="Resume Nam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68"/>
    </w:rPr>
  </w:style>
  <w:style w:type="paragraph" w:customStyle="1" w:styleId="ResumeTagline">
    <w:name w:val="Resume Taglin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24"/>
    </w:rPr>
  </w:style>
  <w:style w:type="paragraph" w:customStyle="1" w:styleId="ResumeContact">
    <w:name w:val="Resume Contac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8"/>
    </w:rPr>
  </w:style>
  <w:style w:type="paragraph" w:customStyle="1" w:styleId="ResumeSignal">
    <w:name w:val="Resume Signa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Hero">
    <w:name w:val="Resume Hero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Evidence">
    <w:name w:val="Resume Evidenc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Company">
    <w:name w:val="Resume Company"/>
    <w:basedOn w:val="Normal"/>
    <w:pPr>
      <w:spacing w:before="0" w:after="0" w:line="254" w:lineRule="auto"/>
    </w:pPr>
    <w:rPr>
      <w:rFonts w:ascii="Georgia" w:hAnsi="Georgia" w:eastAsia="Georgia"/>
      <w:b/>
      <w:i w:val="0"/>
      <w:color w:val="171717"/>
      <w:sz w:val="22"/>
    </w:rPr>
  </w:style>
  <w:style w:type="paragraph" w:customStyle="1" w:styleId="ResumeRole">
    <w:name w:val="Resume Role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9"/>
    </w:rPr>
  </w:style>
  <w:style w:type="paragraph" w:customStyle="1" w:styleId="ResumeBullet">
    <w:name w:val="Resume Bulle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Detail">
    <w:name w:val="Resume Detail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FeaturedLabel">
    <w:name w:val="Resume Featured Labe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Architecture">
    <w:name w:val="Resume Architectur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21"/>
    </w:rPr>
  </w:style>
  <w:style w:type="paragraph" w:customStyle="1" w:styleId="ResumeFeatureTitle">
    <w:name w:val="Resume Feature Titl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Footer">
    <w:name w:val="Resume Footer"/>
    <w:basedOn w:val="Normal"/>
    <w:pPr>
      <w:spacing w:before="0" w:after="0" w:line="254" w:lineRule="auto"/>
    </w:pPr>
    <w:rPr>
      <w:rFonts w:ascii="Consolas" w:hAnsi="Consolas" w:eastAsia="Consolas"/>
      <w:b w:val="0"/>
      <w:i w:val="0"/>
      <w:color w:val="6F6A6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yperlink" Target="https://www.linkedin.com/in/stephen-cho-50226699" TargetMode="External"/><Relationship Id="rId14" Type="http://schemas.openxmlformats.org/officeDocument/2006/relationships/hyperlink" Target="https://english.news.cn/20231122/6d1d9d39de224f4ab77c066e2427cf7e/c.html" TargetMode="External"/><Relationship Id="rId15" Type="http://schemas.openxmlformats.org/officeDocument/2006/relationships/hyperlink" Target="https://english.news.cn/20231126/20c73fa3f10940aa880e24482bd0c7d5/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Stephen Cho - AI Governance and Systems Architect Resume</dc:title>
  <dc:subject>Agentic systems, quantitative AI governance, capital-markets platforms, and risk operations</dc:subject>
  <dc:creator>Stephen Cho</dc:creator>
  <cp:keywords>AI governance and systems architect, agentic systems, product lead, risk-aware routing, bounded authority, capital markets, risk operations, Python, SQL, FIX, Front Arena, Calypso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