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Kicker"/>
        <w:keepNext/>
        <w:keepLines w:val="0"/>
        <w:widowControl/>
        <w:spacing w:before="20" w:after="80" w:line="240" w:lineRule="auto"/>
        <w:ind w:left="0" w:right="0"/>
      </w:pPr>
      <w:r>
        <w:rPr>
          <w:rFonts w:ascii="Segoe UI Semibold" w:hAnsi="Segoe UI Semibold" w:eastAsia="Segoe UI Semibold" w:cs="Segoe UI Semibold"/>
          <w:b/>
          <w:color w:val="742735"/>
          <w:sz w:val="16"/>
          <w:spacing w:val="18"/>
        </w:rPr>
        <w:t>AI GOVERNANCE  /  AGENTIC SYSTEMS  /  CAPITAL MARKETS</w:t>
      </w:r>
    </w:p>
    <w:p>
      <w:pPr>
        <w:pStyle w:val="ResumeName"/>
        <w:keepNext/>
        <w:keepLines w:val="0"/>
        <w:widowControl/>
        <w:spacing w:before="0" w:after="20" w:line="226" w:lineRule="auto"/>
        <w:ind w:left="0" w:right="0"/>
      </w:pPr>
      <w:r>
        <w:rPr>
          <w:rFonts w:ascii="Georgia" w:hAnsi="Georgia" w:eastAsia="Georgia" w:cs="Georgia"/>
          <w:color w:val="171717"/>
          <w:sz w:val="68"/>
        </w:rPr>
        <w:t>Stephen Cho</w:t>
      </w:r>
    </w:p>
    <w:p>
      <w:pPr>
        <w:pStyle w:val="ResumeTagline"/>
        <w:keepNext/>
        <w:keepLines w:val="0"/>
        <w:widowControl/>
        <w:spacing w:before="0" w:after="56" w:line="240" w:lineRule="auto"/>
        <w:ind w:left="0" w:right="0"/>
      </w:pPr>
      <w:r>
        <w:rPr>
          <w:rFonts w:ascii="Segoe UI Semibold" w:hAnsi="Segoe UI Semibold" w:eastAsia="Segoe UI Semibold" w:cs="Segoe UI Semibold"/>
          <w:b/>
          <w:color w:val="742735"/>
          <w:sz w:val="24"/>
        </w:rPr>
        <w:t>AI Governance Architect  ·  Agentic Systems &amp; Capital Markets</w:t>
      </w:r>
    </w:p>
    <w:p>
      <w:pPr>
        <w:pStyle w:val="ResumeContact"/>
        <w:keepNext/>
        <w:keepLines w:val="0"/>
        <w:widowControl/>
        <w:spacing w:before="0" w:after="32" w:line="240" w:lineRule="auto"/>
        <w:ind w:left="0" w:right="0"/>
      </w:pPr>
      <w:r>
        <w:rPr>
          <w:rFonts w:ascii="Segoe UI" w:hAnsi="Segoe UI" w:eastAsia="Segoe UI" w:cs="Segoe UI"/>
          <w:color w:val="6F6A63"/>
          <w:sz w:val="18"/>
        </w:rPr>
        <w:t xml:space="preserve">San Francisco, CA  /  (415) 699-4064  /  stephenchung29@gmail.com  /  </w:t>
      </w:r>
      <w:hyperlink r:id="rId13" w:history="1">
        <w:r>
          <w:rPr>
            <w:rFonts w:ascii="Segoe UI" w:hAnsi="Segoe UI" w:eastAsia="Segoe UI" w:cs="Segoe UI"/>
            <w:color w:val="632433"/>
            <w:u w:val="none"/>
            <w:sz w:val="18"/>
            <w:szCs w:val="18"/>
          </w:rPr>
          <w:t>linkedin.com/in/stephen-cho-50226699</w:t>
        </w:r>
      </w:hyperlink>
    </w:p>
    <w:p>
      <w:pPr>
        <w:keepNext/>
        <w:keepLines w:val="0"/>
        <w:widowControl/>
        <w:spacing w:before="0" w:after="120" w:line="240" w:lineRule="auto"/>
        <w:ind w:left="0" w:right="6120"/>
        <w:pBdr>
          <w:bottom w:val="single" w:sz="6" w:space="1" w:color="B8A57C"/>
        </w:pBdr>
      </w:pPr>
    </w:p>
    <w:p>
      <w:pPr>
        <w:pStyle w:val="ResumeHero"/>
        <w:keepNext w:val="0"/>
        <w:keepLines/>
        <w:widowControl/>
        <w:spacing w:before="10" w:after="68" w:line="259" w:lineRule="auto"/>
        <w:ind w:left="0" w:right="0"/>
      </w:pPr>
      <w:r>
        <w:rPr>
          <w:rFonts w:ascii="Georgia" w:hAnsi="Georgia" w:eastAsia="Georgia" w:cs="Georgia"/>
          <w:color w:val="171717"/>
          <w:sz w:val="30"/>
        </w:rPr>
        <w:t>Designed QuantChoAI from a decade of capital-markets failure modes: a two-layer financial AI operating system that turns agentic work into governed decisions through risk-aware routing, bounded authority, evidence gates, and recoverable execution.</w:t>
      </w:r>
    </w:p>
    <w:p>
      <w:pPr>
        <w:pStyle w:val="ResumeEvidence"/>
        <w:keepNext w:val="0"/>
        <w:keepLines/>
        <w:widowControl/>
        <w:spacing w:before="0" w:after="116" w:line="240" w:lineRule="auto"/>
        <w:ind w:left="0" w:right="0"/>
      </w:pPr>
      <w:r>
        <w:rPr>
          <w:rFonts w:ascii="Segoe UI Semibold" w:hAnsi="Segoe UI Semibold" w:eastAsia="Segoe UI Semibold" w:cs="Segoe UI Semibold"/>
          <w:b/>
          <w:color w:val="6F6A63"/>
          <w:sz w:val="16"/>
          <w:spacing w:val="8"/>
        </w:rPr>
        <w:t>10+ YEARS  ·  FRONT ARENA + CALYPSO  ·  ~$500M FUND  ·  QUANTCHOAI</w:t>
      </w:r>
    </w:p>
    <w:p>
      <w:pPr>
        <w:pStyle w:val="Heading1"/>
        <w:keepNext/>
        <w:keepLines w:val="0"/>
        <w:widowControl/>
        <w:spacing w:before="50" w:after="76" w:line="240" w:lineRule="auto"/>
        <w:ind w:left="0" w:right="0"/>
        <w:pBdr>
          <w:bottom w:val="single" w:sz="4" w:space="3" w:color="D8D0C3"/>
        </w:pBdr>
      </w:pPr>
      <w:r>
        <w:rPr>
          <w:rFonts w:ascii="Georgia" w:hAnsi="Georgia" w:eastAsia="Georgia" w:cs="Georgia"/>
          <w:color w:val="742735"/>
          <w:sz w:val="35"/>
        </w:rPr>
        <w:t>01</w:t>
      </w:r>
      <w:r>
        <w:rPr>
          <w:rFonts w:ascii="Segoe UI Semibold" w:hAnsi="Segoe UI Semibold" w:eastAsia="Segoe UI Semibold" w:cs="Segoe UI Semibold"/>
          <w:color w:val="B8A57C"/>
          <w:sz w:val="18"/>
        </w:rPr>
        <w:t xml:space="preserve">  /  </w:t>
      </w:r>
      <w:r>
        <w:rPr>
          <w:rFonts w:ascii="Segoe UI Semibold" w:hAnsi="Segoe UI Semibold" w:eastAsia="Segoe UI Semibold" w:cs="Segoe UI Semibold"/>
          <w:b/>
          <w:color w:val="171717"/>
          <w:sz w:val="19"/>
          <w:spacing w:val="14"/>
        </w:rPr>
        <w:t>EXPERIENCE</w:t>
      </w:r>
    </w:p>
    <w:p>
      <w:pPr>
        <w:pStyle w:val="ResumeFeaturedLabel"/>
        <w:keepNext/>
        <w:keepLines w:val="0"/>
        <w:widowControl/>
        <w:spacing w:before="40" w:after="30" w:line="240" w:lineRule="auto"/>
        <w:ind w:left="202" w:right="202"/>
        <w:shd w:val="clear" w:color="auto" w:fill="F2EEE7"/>
        <w:pBdr>
          <w:left w:val="single" w:sz="14" w:space="6" w:color="742735"/>
        </w:pBdr>
      </w:pPr>
      <w:r>
        <w:rPr>
          <w:rFonts w:ascii="Segoe UI Semibold" w:hAnsi="Segoe UI Semibold" w:eastAsia="Segoe UI Semibold" w:cs="Segoe UI Semibold"/>
          <w:b/>
          <w:color w:val="742735"/>
          <w:sz w:val="16"/>
          <w:spacing w:val="9"/>
        </w:rPr>
        <w:t>SIGNATURE SYSTEM  —  TWO-LAYER FINANCIAL AI OPERATING SYSTEM  ·  FAIL-CLOSED</w:t>
      </w:r>
    </w:p>
    <w:p>
      <w:pPr>
        <w:pStyle w:val="ResumeCompany"/>
        <w:keepNext/>
        <w:keepLines w:val="0"/>
        <w:widowControl/>
        <w:tabs>
          <w:tab w:pos="9965" w:val="right"/>
        </w:tabs>
        <w:spacing w:before="20" w:after="10" w:line="240" w:lineRule="auto"/>
        <w:ind w:left="202" w:right="202"/>
        <w:shd w:val="clear" w:color="auto" w:fill="F2EEE7"/>
        <w:pBdr>
          <w:left w:val="single" w:sz="14" w:space="6" w:color="742735"/>
        </w:pBdr>
      </w:pPr>
      <w:r>
        <w:rPr>
          <w:rFonts w:ascii="Georgia" w:hAnsi="Georgia" w:eastAsia="Georgia" w:cs="Georgia"/>
          <w:b/>
          <w:color w:val="171717"/>
          <w:sz w:val="22"/>
        </w:rPr>
        <w:t>QuantChoAI LLC</w:t>
      </w:r>
      <w:r>
        <w:rPr>
          <w:rFonts w:ascii="Consolas" w:hAnsi="Consolas" w:eastAsia="Consolas" w:cs="Consolas"/>
          <w:b/>
          <w:color w:val="6F6A63"/>
          <w:sz w:val="17"/>
        </w:rPr>
        <w:tab/>
        <w:t>Apr 2025 - Present</w:t>
      </w:r>
    </w:p>
    <w:p>
      <w:pPr>
        <w:pStyle w:val="ResumeRole"/>
        <w:keepNext/>
        <w:keepLines w:val="0"/>
        <w:widowControl/>
        <w:spacing w:before="0" w:after="32" w:line="240" w:lineRule="auto"/>
        <w:ind w:left="202" w:right="202"/>
        <w:shd w:val="clear" w:color="auto" w:fill="F2EEE7"/>
        <w:pBdr>
          <w:left w:val="single" w:sz="14" w:space="6" w:color="742735"/>
        </w:pBdr>
      </w:pPr>
      <w:r>
        <w:rPr>
          <w:rFonts w:ascii="Segoe UI" w:hAnsi="Segoe UI" w:eastAsia="Segoe UI" w:cs="Segoe UI"/>
          <w:color w:val="6F6A63"/>
          <w:sz w:val="19"/>
        </w:rPr>
        <w:t>Founder &amp; AI Governance Architect</w:t>
      </w:r>
    </w:p>
    <w:p>
      <w:pPr>
        <w:pStyle w:val="ResumeArchitecture"/>
        <w:keepNext w:val="0"/>
        <w:keepLines/>
        <w:widowControl/>
        <w:spacing w:before="0" w:after="20" w:line="252" w:lineRule="auto"/>
        <w:ind w:left="202" w:right="202"/>
        <w:shd w:val="clear" w:color="auto" w:fill="F2EEE7"/>
        <w:pBdr>
          <w:left w:val="single" w:sz="14" w:space="6" w:color="742735"/>
        </w:pBdr>
      </w:pPr>
      <w:r>
        <w:rPr>
          <w:rFonts w:ascii="Georgia" w:hAnsi="Georgia" w:eastAsia="Georgia" w:cs="Georgia"/>
          <w:color w:val="742735"/>
          <w:sz w:val="21"/>
        </w:rPr>
        <w:t>I. CLIENT EXPERIENCE OS</w:t>
      </w:r>
      <w:r>
        <w:rPr>
          <w:rFonts w:ascii="Segoe UI" w:hAnsi="Segoe UI" w:eastAsia="Segoe UI" w:cs="Segoe UI"/>
          <w:color w:val="171717"/>
          <w:sz w:val="19"/>
        </w:rPr>
        <w:t xml:space="preserve">  Dashboard · Positions · Risk · Subledger — market/risk state, decisions, provenance, and audit context.</w:t>
      </w:r>
    </w:p>
    <w:p>
      <w:pPr>
        <w:pStyle w:val="ResumeFeaturedLabel"/>
        <w:keepNext w:val="0"/>
        <w:keepLines/>
        <w:widowControl/>
        <w:spacing w:before="0" w:after="20" w:line="240" w:lineRule="auto"/>
        <w:ind w:left="202" w:right="202"/>
        <w:jc w:val="center"/>
        <w:shd w:val="clear" w:color="auto" w:fill="F2EEE7"/>
        <w:pBdr>
          <w:left w:val="single" w:sz="14" w:space="6" w:color="742735"/>
          <w:top w:val="single" w:sz="2" w:space="2" w:color="D8D0C3"/>
          <w:bottom w:val="single" w:sz="2" w:space="2" w:color="D8D0C3"/>
        </w:pBdr>
      </w:pPr>
      <w:r>
        <w:rPr>
          <w:rFonts w:ascii="Segoe UI Semibold" w:hAnsi="Segoe UI Semibold" w:eastAsia="Segoe UI Semibold" w:cs="Segoe UI Semibold"/>
          <w:b/>
          <w:color w:val="6F6A63"/>
          <w:sz w:val="15"/>
          <w:spacing w:val="12"/>
        </w:rPr>
        <w:t>SCHEMA-DEFINED TICKETS + BOUNDED AUTHORITY</w:t>
      </w:r>
    </w:p>
    <w:p>
      <w:pPr>
        <w:pStyle w:val="ResumeArchitecture"/>
        <w:keepNext w:val="0"/>
        <w:keepLines/>
        <w:widowControl/>
        <w:spacing w:before="0" w:after="20" w:line="252" w:lineRule="auto"/>
        <w:ind w:left="202" w:right="202"/>
        <w:shd w:val="clear" w:color="auto" w:fill="F2EEE7"/>
        <w:pBdr>
          <w:left w:val="single" w:sz="14" w:space="6" w:color="742735"/>
        </w:pBdr>
      </w:pPr>
      <w:r>
        <w:rPr>
          <w:rFonts w:ascii="Georgia" w:hAnsi="Georgia" w:eastAsia="Georgia" w:cs="Georgia"/>
          <w:color w:val="742735"/>
          <w:sz w:val="21"/>
        </w:rPr>
        <w:t>II. AGENT GOVERNANCE OS</w:t>
      </w:r>
      <w:r>
        <w:rPr>
          <w:rFonts w:ascii="Segoe UI" w:hAnsi="Segoe UI" w:eastAsia="Segoe UI" w:cs="Segoe UI"/>
          <w:color w:val="171717"/>
          <w:sz w:val="19"/>
        </w:rPr>
        <w:t xml:space="preserve">  Route · Authorize · Test · Promote / Recycle · Recover — the control layer behind the client experience.</w:t>
      </w:r>
    </w:p>
    <w:p>
      <w:pPr>
        <w:pStyle w:val="ResumeBullet"/>
        <w:keepNext w:val="0"/>
        <w:keepLines/>
        <w:widowControl/>
        <w:spacing w:before="0" w:after="38" w:line="252" w:lineRule="auto"/>
        <w:ind w:left="202" w:right="202"/>
        <w:shd w:val="clear" w:color="auto" w:fill="F2EEE7"/>
        <w:pBdr>
          <w:left w:val="single" w:sz="14" w:space="6" w:color="742735"/>
        </w:pBdr>
      </w:pPr>
      <w:r>
        <w:rPr>
          <w:rFonts w:ascii="Segoe UI" w:hAnsi="Segoe UI" w:eastAsia="Segoe UI" w:cs="Segoe UI"/>
          <w:b/>
          <w:color w:val="742735"/>
          <w:sz w:val="19"/>
        </w:rPr>
        <w:t xml:space="preserve">•  </w:t>
      </w:r>
      <w:r>
        <w:rPr>
          <w:rFonts w:ascii="Segoe UI" w:hAnsi="Segoe UI" w:eastAsia="Segoe UI" w:cs="Segoe UI"/>
          <w:color w:val="171717"/>
          <w:sz w:val="19"/>
        </w:rPr>
        <w:t>Designed quantitative decision models for agent selection, trust, and authority by combining expected task value, success likelihood, cost, uncertainty, and tail risk (CVaR-aware routing; Bayesian/Elo-style trust updates).</w:t>
      </w:r>
    </w:p>
    <w:p>
      <w:pPr>
        <w:pStyle w:val="ResumeBullet"/>
        <w:keepNext w:val="0"/>
        <w:keepLines/>
        <w:widowControl/>
        <w:spacing w:before="0" w:after="38" w:line="252" w:lineRule="auto"/>
        <w:ind w:left="202" w:right="202"/>
        <w:shd w:val="clear" w:color="auto" w:fill="F2EEE7"/>
        <w:pBdr>
          <w:left w:val="single" w:sz="14" w:space="6" w:color="742735"/>
        </w:pBdr>
      </w:pPr>
      <w:r>
        <w:rPr>
          <w:rFonts w:ascii="Segoe UI" w:hAnsi="Segoe UI" w:eastAsia="Segoe UI" w:cs="Segoe UI"/>
          <w:b/>
          <w:color w:val="742735"/>
          <w:sz w:val="19"/>
        </w:rPr>
        <w:t xml:space="preserve">•  </w:t>
      </w:r>
      <w:r>
        <w:rPr>
          <w:rFonts w:ascii="Segoe UI" w:hAnsi="Segoe UI" w:eastAsia="Segoe UI" w:cs="Segoe UI"/>
          <w:color w:val="171717"/>
          <w:sz w:val="19"/>
        </w:rPr>
        <w:t>Governed schema-defined workflows through risk tiers, shadow-to-canary-to-full promotion, bounded recycle/replacement, test and audit gates, and operator approval for money or irreversible actions.</w:t>
      </w:r>
    </w:p>
    <w:p>
      <w:pPr>
        <w:pStyle w:val="ResumeBullet"/>
        <w:keepNext w:val="0"/>
        <w:keepLines/>
        <w:widowControl/>
        <w:spacing w:before="0" w:after="22" w:line="252" w:lineRule="auto"/>
        <w:ind w:left="202" w:right="202"/>
        <w:shd w:val="clear" w:color="auto" w:fill="F2EEE7"/>
        <w:pBdr>
          <w:left w:val="single" w:sz="14" w:space="6" w:color="742735"/>
        </w:pBdr>
      </w:pPr>
      <w:r>
        <w:rPr>
          <w:rFonts w:ascii="Segoe UI" w:hAnsi="Segoe UI" w:eastAsia="Segoe UI" w:cs="Segoe UI"/>
          <w:b/>
          <w:color w:val="742735"/>
          <w:sz w:val="19"/>
        </w:rPr>
        <w:t xml:space="preserve">•  </w:t>
      </w:r>
      <w:r>
        <w:rPr>
          <w:rFonts w:ascii="Segoe UI" w:hAnsi="Segoe UI" w:eastAsia="Segoe UI" w:cs="Segoe UI"/>
          <w:color w:val="171717"/>
          <w:sz w:val="19"/>
        </w:rPr>
        <w:t>Implemented MongoDB ticket/claim ledgers, isolated Git worktrees, deterministic reduction, fail-closed validation, append-only outcome telemetry, dashboards, and recovery controls.</w:t>
      </w:r>
    </w:p>
    <w:p>
      <w:pPr>
        <w:pStyle w:val="ResumeCompany"/>
        <w:keepNext/>
        <w:keepLines w:val="0"/>
        <w:widowControl/>
        <w:tabs>
          <w:tab w:pos="10368" w:val="right"/>
        </w:tabs>
        <w:spacing w:before="76" w:after="10" w:line="240" w:lineRule="auto"/>
        <w:ind w:left="0" w:right="0"/>
      </w:pPr>
      <w:r>
        <w:rPr>
          <w:rFonts w:ascii="Georgia" w:hAnsi="Georgia" w:eastAsia="Georgia" w:cs="Georgia"/>
          <w:b/>
          <w:color w:val="171717"/>
          <w:sz w:val="22"/>
        </w:rPr>
        <w:t>Calypso Technology</w:t>
      </w:r>
      <w:r>
        <w:rPr>
          <w:rFonts w:ascii="Consolas" w:hAnsi="Consolas" w:eastAsia="Consolas" w:cs="Consolas"/>
          <w:b/>
          <w:color w:val="6F6A63"/>
          <w:sz w:val="17"/>
        </w:rPr>
        <w:tab/>
        <w:t>Jan 2020 - Jan 2021</w:t>
      </w:r>
    </w:p>
    <w:p>
      <w:pPr>
        <w:pStyle w:val="ResumeRole"/>
        <w:keepNext/>
        <w:keepLines w:val="0"/>
        <w:widowControl/>
        <w:spacing w:before="0" w:after="32" w:line="240" w:lineRule="auto"/>
        <w:ind w:left="0" w:right="0"/>
      </w:pPr>
      <w:r>
        <w:rPr>
          <w:rFonts w:ascii="Segoe UI" w:hAnsi="Segoe UI" w:eastAsia="Segoe UI" w:cs="Segoe UI"/>
          <w:color w:val="6F6A63"/>
          <w:sz w:val="19"/>
        </w:rPr>
        <w:t>QA Engineer - XVA / ERS</w:t>
      </w:r>
    </w:p>
    <w:p>
      <w:pPr>
        <w:numPr>
          <w:ilvl w:val="0"/>
          <w:numId w:val="10"/>
        </w:numPr>
        <w:pStyle w:val="ResumeBullet"/>
        <w:keepNext w:val="0"/>
        <w:keepLines/>
        <w:widowControl/>
        <w:spacing w:before="0" w:after="38" w:line="252" w:lineRule="auto"/>
        <w:ind w:left="0" w:right="0"/>
      </w:pPr>
      <w:r>
        <w:rPr>
          <w:rFonts w:ascii="Segoe UI" w:hAnsi="Segoe UI" w:eastAsia="Segoe UI" w:cs="Segoe UI"/>
          <w:color w:val="171717"/>
          <w:sz w:val="19"/>
        </w:rPr>
        <w:t>Validated monthly Calypso releases and new feature requests (RPMs) across XVA and ERS, executing manual test cases, investigating client-reported issues in JIRA, monitoring production outputs and services, and contributing to formal project-status reporting.</w:t>
      </w:r>
    </w:p>
    <w:p>
      <w:pPr>
        <w:numPr>
          <w:ilvl w:val="0"/>
          <w:numId w:val="10"/>
        </w:numPr>
        <w:pStyle w:val="ResumeBullet"/>
        <w:keepNext w:val="0"/>
        <w:keepLines/>
        <w:widowControl/>
        <w:spacing w:before="0" w:after="38" w:line="252" w:lineRule="auto"/>
        <w:ind w:left="0" w:right="0"/>
      </w:pPr>
      <w:r>
        <w:rPr>
          <w:rFonts w:ascii="Segoe UI" w:hAnsi="Segoe UI" w:eastAsia="Segoe UI" w:cs="Segoe UI"/>
          <w:color w:val="171717"/>
          <w:sz w:val="19"/>
        </w:rPr>
        <w:t>Investigated pricing, risk-valuation, and P&amp;L discrepancies using Calypso Scenario Engine and Monte Carlo Scenario Engine matrices, including yield-curve, underlying-price, and FX shocks; supported relative-value and asset-allocation analysis.</w:t>
      </w:r>
    </w:p>
    <w:p>
      <w:pPr>
        <w:numPr>
          <w:ilvl w:val="0"/>
          <w:numId w:val="10"/>
        </w:numPr>
        <w:pStyle w:val="ResumeBullet"/>
        <w:keepNext w:val="0"/>
        <w:keepLines/>
        <w:widowControl/>
        <w:spacing w:before="0" w:after="38" w:line="252" w:lineRule="auto"/>
        <w:ind w:left="0" w:right="0"/>
      </w:pPr>
      <w:r>
        <w:rPr>
          <w:rFonts w:ascii="Segoe UI" w:hAnsi="Segoe UI" w:eastAsia="Segoe UI" w:cs="Segoe UI"/>
          <w:color w:val="171717"/>
          <w:sz w:val="19"/>
        </w:rPr>
        <w:t>Supported implementations and upgrades - including system updates, patches, configuration changes, and regulatory risk-module adjustments - for clients and market-infrastructure organizations including HKEX, EUREX, MUFG, RBC, HSBC, AIB, Gazprom Bank, and Emirates NBD.</w:t>
      </w:r>
    </w:p>
    <w:p>
      <w:pPr>
        <w:pStyle w:val="ResumeCompany"/>
        <w:keepNext/>
        <w:keepLines w:val="0"/>
        <w:widowControl/>
        <w:tabs>
          <w:tab w:pos="10368" w:val="right"/>
        </w:tabs>
        <w:spacing w:before="80" w:after="10" w:line="240" w:lineRule="auto"/>
        <w:ind w:left="0" w:right="0"/>
      </w:pPr>
      <w:r>
        <w:rPr>
          <w:rFonts w:ascii="Georgia" w:hAnsi="Georgia" w:eastAsia="Georgia" w:cs="Georgia"/>
          <w:b/>
          <w:color w:val="171717"/>
          <w:sz w:val="22"/>
        </w:rPr>
        <w:t>Open Door Capital Advisors, LLC</w:t>
      </w:r>
      <w:r>
        <w:rPr>
          <w:rFonts w:ascii="Consolas" w:hAnsi="Consolas" w:eastAsia="Consolas" w:cs="Consolas"/>
          <w:b/>
          <w:color w:val="6F6A63"/>
          <w:sz w:val="17"/>
        </w:rPr>
        <w:tab/>
        <w:t>May 2018 - Jan 2020</w:t>
      </w:r>
    </w:p>
    <w:p>
      <w:pPr>
        <w:pStyle w:val="ResumeRole"/>
        <w:keepNext/>
        <w:keepLines w:val="0"/>
        <w:widowControl/>
        <w:spacing w:before="0" w:after="32" w:line="240" w:lineRule="auto"/>
        <w:ind w:left="0" w:right="0"/>
      </w:pPr>
      <w:r>
        <w:rPr>
          <w:rFonts w:ascii="Segoe UI" w:hAnsi="Segoe UI" w:eastAsia="Segoe UI" w:cs="Segoe UI"/>
          <w:color w:val="6F6A63"/>
          <w:sz w:val="19"/>
        </w:rPr>
        <w:t>Investment Risk and Performance Specialist / Investment Control Specialist</w:t>
      </w:r>
    </w:p>
    <w:p>
      <w:pPr>
        <w:numPr>
          <w:ilvl w:val="0"/>
          <w:numId w:val="10"/>
        </w:numPr>
        <w:pStyle w:val="ResumeBullet"/>
        <w:keepNext w:val="0"/>
        <w:keepLines/>
        <w:widowControl/>
        <w:spacing w:before="0" w:after="38" w:line="252" w:lineRule="auto"/>
        <w:ind w:left="0" w:right="0"/>
      </w:pPr>
      <w:r>
        <w:rPr>
          <w:rFonts w:ascii="Segoe UI" w:hAnsi="Segoe UI" w:eastAsia="Segoe UI" w:cs="Segoe UI"/>
          <w:color w:val="171717"/>
          <w:sz w:val="19"/>
        </w:rPr>
        <w:t>Produced VaR, stress, liquidity, concentration, attribution, due-diligence, contribution-to-return, and monthly investor reporting for an approximately $500M Greater China hedge fund.</w:t>
      </w:r>
    </w:p>
    <w:p>
      <w:pPr>
        <w:numPr>
          <w:ilvl w:val="0"/>
          <w:numId w:val="10"/>
        </w:numPr>
        <w:pStyle w:val="ResumeBullet"/>
        <w:keepNext w:val="0"/>
        <w:keepLines/>
        <w:widowControl/>
        <w:spacing w:before="0" w:after="38" w:line="252" w:lineRule="auto"/>
        <w:ind w:left="0" w:right="0"/>
      </w:pPr>
      <w:r>
        <w:rPr>
          <w:rFonts w:ascii="Segoe UI" w:hAnsi="Segoe UI" w:eastAsia="Segoe UI" w:cs="Segoe UI"/>
          <w:color w:val="171717"/>
          <w:sz w:val="19"/>
        </w:rPr>
        <w:t>Evaluated vendor risk models and developed custom factors for Greater China and emerging-market exposures; built risk and performance-attribution workflows using Bloomberg, FactSet, and R.</w:t>
      </w:r>
    </w:p>
    <w:p>
      <w:pPr>
        <w:numPr>
          <w:ilvl w:val="0"/>
          <w:numId w:val="10"/>
        </w:numPr>
        <w:pStyle w:val="ResumeBullet"/>
        <w:keepNext w:val="0"/>
        <w:keepLines/>
        <w:widowControl/>
        <w:spacing w:before="0" w:after="38" w:line="252" w:lineRule="auto"/>
        <w:ind w:left="0" w:right="0"/>
      </w:pPr>
      <w:r>
        <w:rPr>
          <w:rFonts w:ascii="Segoe UI" w:hAnsi="Segoe UI" w:eastAsia="Segoe UI" w:cs="Segoe UI"/>
          <w:color w:val="171717"/>
          <w:sz w:val="19"/>
        </w:rPr>
        <w:t>Performed daily controls spanning swap, cash, and securities approvals; pre- and post-trade compliance; booking, allocation, settlement, reconciliation, margin monitoring, and broker communication.</w:t>
      </w:r>
    </w:p>
    <w:p>
      <w:pPr>
        <w:pStyle w:val="Heading1"/>
        <w:keepNext/>
        <w:keepLines w:val="0"/>
        <w:pageBreakBefore/>
        <w:widowControl/>
        <w:spacing w:before="80" w:after="76" w:line="240" w:lineRule="auto"/>
        <w:ind w:left="0" w:right="0"/>
        <w:pBdr>
          <w:bottom w:val="single" w:sz="4" w:space="3" w:color="D8D0C3"/>
        </w:pBdr>
      </w:pPr>
      <w:r>
        <w:rPr>
          <w:rFonts w:ascii="Georgia" w:hAnsi="Georgia" w:eastAsia="Georgia" w:cs="Georgia"/>
          <w:color w:val="742735"/>
          <w:sz w:val="35"/>
        </w:rPr>
        <w:t>01</w:t>
      </w:r>
      <w:r>
        <w:rPr>
          <w:rFonts w:ascii="Segoe UI Semibold" w:hAnsi="Segoe UI Semibold" w:eastAsia="Segoe UI Semibold" w:cs="Segoe UI Semibold"/>
          <w:color w:val="B8A57C"/>
          <w:sz w:val="18"/>
        </w:rPr>
        <w:t xml:space="preserve">  /  </w:t>
      </w:r>
      <w:r>
        <w:rPr>
          <w:rFonts w:ascii="Segoe UI Semibold" w:hAnsi="Segoe UI Semibold" w:eastAsia="Segoe UI Semibold" w:cs="Segoe UI Semibold"/>
          <w:b/>
          <w:color w:val="171717"/>
          <w:sz w:val="19"/>
          <w:spacing w:val="14"/>
        </w:rPr>
        <w:t>EXPERIENCE / CONTINUED</w:t>
      </w:r>
    </w:p>
    <w:p>
      <w:pPr>
        <w:pStyle w:val="ResumeCompany"/>
        <w:keepNext/>
        <w:keepLines w:val="0"/>
        <w:widowControl/>
        <w:tabs>
          <w:tab w:pos="10368" w:val="right"/>
        </w:tabs>
        <w:spacing w:before="40" w:after="10" w:line="240" w:lineRule="auto"/>
        <w:ind w:left="0" w:right="0"/>
      </w:pPr>
      <w:r>
        <w:rPr>
          <w:rFonts w:ascii="Georgia" w:hAnsi="Georgia" w:eastAsia="Georgia" w:cs="Georgia"/>
          <w:b/>
          <w:color w:val="171717"/>
          <w:sz w:val="22"/>
        </w:rPr>
        <w:t>FIS Global (Formerly SunGard Front Arena)</w:t>
      </w:r>
      <w:r>
        <w:rPr>
          <w:rFonts w:ascii="Consolas" w:hAnsi="Consolas" w:eastAsia="Consolas" w:cs="Consolas"/>
          <w:b/>
          <w:color w:val="6F6A63"/>
          <w:sz w:val="17"/>
        </w:rPr>
        <w:tab/>
        <w:t>Jun 2015 - Apr 2018</w:t>
      </w:r>
    </w:p>
    <w:p>
      <w:pPr>
        <w:pStyle w:val="ResumeRole"/>
        <w:keepNext/>
        <w:keepLines w:val="0"/>
        <w:widowControl/>
        <w:spacing w:before="0" w:after="32" w:line="240" w:lineRule="auto"/>
        <w:ind w:left="0" w:right="0"/>
      </w:pPr>
      <w:r>
        <w:rPr>
          <w:rFonts w:ascii="Segoe UI" w:hAnsi="Segoe UI" w:eastAsia="Segoe UI" w:cs="Segoe UI"/>
          <w:color w:val="6F6A63"/>
          <w:sz w:val="19"/>
        </w:rPr>
        <w:t>Trading Application Support Analyst</w:t>
      </w:r>
    </w:p>
    <w:p>
      <w:pPr>
        <w:numPr>
          <w:ilvl w:val="0"/>
          <w:numId w:val="10"/>
        </w:numPr>
        <w:pStyle w:val="ResumeBullet"/>
        <w:keepNext w:val="0"/>
        <w:keepLines/>
        <w:widowControl/>
        <w:spacing w:before="0" w:after="38" w:line="252" w:lineRule="auto"/>
        <w:ind w:left="0" w:right="0"/>
      </w:pPr>
      <w:r>
        <w:rPr>
          <w:rFonts w:ascii="Segoe UI" w:hAnsi="Segoe UI" w:eastAsia="Segoe UI" w:cs="Segoe UI"/>
          <w:color w:val="171717"/>
          <w:sz w:val="19"/>
        </w:rPr>
        <w:t>Customized FIX interfaces, Bloomberg data loaders, FTP/SFTP feeds, and Python/XSL mappings to route instruments and trades between prime brokers, Front Arena, downstream brokers, and fund administrators.</w:t>
      </w:r>
    </w:p>
    <w:p>
      <w:pPr>
        <w:numPr>
          <w:ilvl w:val="0"/>
          <w:numId w:val="10"/>
        </w:numPr>
        <w:pStyle w:val="ResumeBullet"/>
        <w:keepNext w:val="0"/>
        <w:keepLines/>
        <w:widowControl/>
        <w:spacing w:before="0" w:after="38" w:line="252" w:lineRule="auto"/>
        <w:ind w:left="0" w:right="0"/>
      </w:pPr>
      <w:r>
        <w:rPr>
          <w:rFonts w:ascii="Segoe UI" w:hAnsi="Segoe UI" w:eastAsia="Segoe UI" w:cs="Segoe UI"/>
          <w:color w:val="171717"/>
          <w:sz w:val="19"/>
        </w:rPr>
        <w:t>Resolved pricing, P&amp;L, risk, yield-curve, volatility-surface, Greeks, and structured-product workflow issues; customized workbooks and automated end-of-day reporting.</w:t>
      </w:r>
    </w:p>
    <w:p>
      <w:pPr>
        <w:numPr>
          <w:ilvl w:val="0"/>
          <w:numId w:val="10"/>
        </w:numPr>
        <w:pStyle w:val="ResumeBullet"/>
        <w:keepNext w:val="0"/>
        <w:keepLines/>
        <w:widowControl/>
        <w:spacing w:before="0" w:after="20" w:line="252" w:lineRule="auto"/>
        <w:ind w:left="0" w:right="0"/>
      </w:pPr>
      <w:r>
        <w:rPr>
          <w:rFonts w:ascii="Segoe UI" w:hAnsi="Segoe UI" w:eastAsia="Segoe UI" w:cs="Segoe UI"/>
          <w:color w:val="171717"/>
          <w:sz w:val="19"/>
        </w:rPr>
        <w:t>Configured pre- and post-trade compliance rules and risk modules across market, liquidity, counterparty, operational, and regulatory requirements; partnered with core development on reusable functionality.</w:t>
      </w:r>
    </w:p>
    <w:p>
      <w:pPr>
        <w:pStyle w:val="Heading1"/>
        <w:keepNext/>
        <w:keepLines w:val="0"/>
        <w:widowControl/>
        <w:spacing w:before="76" w:after="76" w:line="240" w:lineRule="auto"/>
        <w:ind w:left="0" w:right="0"/>
        <w:pBdr>
          <w:bottom w:val="single" w:sz="4" w:space="3" w:color="D8D0C3"/>
        </w:pBdr>
      </w:pPr>
      <w:r>
        <w:rPr>
          <w:rFonts w:ascii="Georgia" w:hAnsi="Georgia" w:eastAsia="Georgia" w:cs="Georgia"/>
          <w:color w:val="742735"/>
          <w:sz w:val="35"/>
        </w:rPr>
        <w:t>02</w:t>
      </w:r>
      <w:r>
        <w:rPr>
          <w:rFonts w:ascii="Segoe UI Semibold" w:hAnsi="Segoe UI Semibold" w:eastAsia="Segoe UI Semibold" w:cs="Segoe UI Semibold"/>
          <w:color w:val="B8A57C"/>
          <w:sz w:val="18"/>
        </w:rPr>
        <w:t xml:space="preserve">  /  </w:t>
      </w:r>
      <w:r>
        <w:rPr>
          <w:rFonts w:ascii="Segoe UI Semibold" w:hAnsi="Segoe UI Semibold" w:eastAsia="Segoe UI Semibold" w:cs="Segoe UI Semibold"/>
          <w:b/>
          <w:color w:val="171717"/>
          <w:sz w:val="19"/>
          <w:spacing w:val="14"/>
        </w:rPr>
        <w:t>GOVERNANCE ARCHITECTURE</w:t>
      </w:r>
    </w:p>
    <w:p>
      <w:pPr>
        <w:pStyle w:val="ResumeDetail"/>
        <w:keepNext w:val="0"/>
        <w:keepLines/>
        <w:widowControl/>
        <w:spacing w:before="0" w:after="34" w:line="257" w:lineRule="auto"/>
        <w:ind w:left="0" w:right="0"/>
        <w:pBdr>
          <w:bottom w:val="single" w:sz="2" w:space="2" w:color="D8D0C3"/>
        </w:pBdr>
      </w:pPr>
      <w:r>
        <w:rPr>
          <w:rFonts w:ascii="Georgia" w:hAnsi="Georgia" w:eastAsia="Georgia" w:cs="Georgia"/>
          <w:color w:val="742735"/>
          <w:sz w:val="20"/>
        </w:rPr>
        <w:t xml:space="preserve">ROUTE  </w:t>
      </w:r>
      <w:r>
        <w:rPr>
          <w:rFonts w:ascii="Segoe UI" w:hAnsi="Segoe UI" w:eastAsia="Segoe UI" w:cs="Segoe UI"/>
          <w:color w:val="171717"/>
          <w:sz w:val="19"/>
        </w:rPr>
        <w:t>Select agents using expected task value, success likelihood, cost, uncertainty, and tail-risk budgets.</w:t>
      </w:r>
    </w:p>
    <w:p>
      <w:pPr>
        <w:pStyle w:val="ResumeDetail"/>
        <w:keepNext w:val="0"/>
        <w:keepLines/>
        <w:widowControl/>
        <w:spacing w:before="0" w:after="34" w:line="257" w:lineRule="auto"/>
        <w:ind w:left="0" w:right="0"/>
        <w:pBdr>
          <w:bottom w:val="single" w:sz="2" w:space="2" w:color="D8D0C3"/>
        </w:pBdr>
      </w:pPr>
      <w:r>
        <w:rPr>
          <w:rFonts w:ascii="Georgia" w:hAnsi="Georgia" w:eastAsia="Georgia" w:cs="Georgia"/>
          <w:color w:val="742735"/>
          <w:sz w:val="20"/>
        </w:rPr>
        <w:t xml:space="preserve">PROVE  </w:t>
      </w:r>
      <w:r>
        <w:rPr>
          <w:rFonts w:ascii="Segoe UI" w:hAnsi="Segoe UI" w:eastAsia="Segoe UI" w:cs="Segoe UI"/>
          <w:color w:val="171717"/>
          <w:sz w:val="19"/>
        </w:rPr>
        <w:t>Update trust from outcomes, calibrate evidence, and move work through shadow, canary, test, and audit gates.</w:t>
      </w:r>
    </w:p>
    <w:p>
      <w:pPr>
        <w:pStyle w:val="ResumeDetail"/>
        <w:keepNext w:val="0"/>
        <w:keepLines/>
        <w:widowControl/>
        <w:spacing w:before="0" w:after="34" w:line="257" w:lineRule="auto"/>
        <w:ind w:left="0" w:right="0"/>
        <w:pBdr>
          <w:bottom w:val="single" w:sz="2" w:space="2" w:color="D8D0C3"/>
        </w:pBdr>
      </w:pPr>
      <w:r>
        <w:rPr>
          <w:rFonts w:ascii="Georgia" w:hAnsi="Georgia" w:eastAsia="Georgia" w:cs="Georgia"/>
          <w:color w:val="742735"/>
          <w:sz w:val="20"/>
        </w:rPr>
        <w:t xml:space="preserve">AUTHORIZE  </w:t>
      </w:r>
      <w:r>
        <w:rPr>
          <w:rFonts w:ascii="Segoe UI" w:hAnsi="Segoe UI" w:eastAsia="Segoe UI" w:cs="Segoe UI"/>
          <w:color w:val="171717"/>
          <w:sz w:val="19"/>
        </w:rPr>
        <w:t>Bind context, tools, and budget to risk tier; fail closed and require operator release for high-risk actions.</w:t>
      </w:r>
    </w:p>
    <w:p>
      <w:pPr>
        <w:pStyle w:val="ResumeDetail"/>
        <w:keepNext w:val="0"/>
        <w:keepLines/>
        <w:widowControl/>
        <w:spacing w:before="0" w:after="52" w:line="257" w:lineRule="auto"/>
        <w:ind w:left="0" w:right="0"/>
      </w:pPr>
      <w:r>
        <w:rPr>
          <w:rFonts w:ascii="Georgia" w:hAnsi="Georgia" w:eastAsia="Georgia" w:cs="Georgia"/>
          <w:color w:val="742735"/>
          <w:sz w:val="20"/>
        </w:rPr>
        <w:t xml:space="preserve">INSTITUTIONAL SUBSTRATE  </w:t>
      </w:r>
      <w:r>
        <w:rPr>
          <w:rFonts w:ascii="Segoe UI" w:hAnsi="Segoe UI" w:eastAsia="Segoe UI" w:cs="Segoe UI"/>
          <w:color w:val="171717"/>
          <w:sz w:val="19"/>
        </w:rPr>
        <w:t>Front Arena; Calypso XVA/ERS; Bloomberg; FactSet; Python; SQL; MongoDB; FIX/REST; JSON/XML/XSL; Git; ticket/claim ledgers; isolated worktrees; deterministic reduction; rollback and recovery.</w:t>
      </w:r>
    </w:p>
    <w:p>
      <w:pPr>
        <w:pStyle w:val="Heading1"/>
        <w:keepNext/>
        <w:keepLines w:val="0"/>
        <w:widowControl/>
        <w:spacing w:before="76" w:after="76" w:line="240" w:lineRule="auto"/>
        <w:ind w:left="0" w:right="0"/>
        <w:pBdr>
          <w:bottom w:val="single" w:sz="4" w:space="3" w:color="D8D0C3"/>
        </w:pBdr>
      </w:pPr>
      <w:r>
        <w:rPr>
          <w:rFonts w:ascii="Georgia" w:hAnsi="Georgia" w:eastAsia="Georgia" w:cs="Georgia"/>
          <w:color w:val="742735"/>
          <w:sz w:val="35"/>
        </w:rPr>
        <w:t>03</w:t>
      </w:r>
      <w:r>
        <w:rPr>
          <w:rFonts w:ascii="Segoe UI Semibold" w:hAnsi="Segoe UI Semibold" w:eastAsia="Segoe UI Semibold" w:cs="Segoe UI Semibold"/>
          <w:color w:val="B8A57C"/>
          <w:sz w:val="18"/>
        </w:rPr>
        <w:t xml:space="preserve">  /  </w:t>
      </w:r>
      <w:r>
        <w:rPr>
          <w:rFonts w:ascii="Segoe UI Semibold" w:hAnsi="Segoe UI Semibold" w:eastAsia="Segoe UI Semibold" w:cs="Segoe UI Semibold"/>
          <w:b/>
          <w:color w:val="171717"/>
          <w:sz w:val="19"/>
          <w:spacing w:val="14"/>
        </w:rPr>
        <w:t>GLOBAL OPERATIONS / MEDIA</w:t>
      </w:r>
    </w:p>
    <w:p>
      <w:pPr>
        <w:pStyle w:val="ResumeFeaturedLabel"/>
        <w:keepNext/>
        <w:keepLines w:val="0"/>
        <w:widowControl/>
        <w:spacing w:before="30" w:after="32" w:line="240" w:lineRule="auto"/>
        <w:ind w:left="202" w:right="202"/>
        <w:shd w:val="clear" w:color="auto" w:fill="F2EEE7"/>
        <w:pBdr>
          <w:top w:val="single" w:sz="6" w:space="4" w:color="B8A57C"/>
        </w:pBdr>
      </w:pPr>
      <w:r>
        <w:rPr>
          <w:rFonts w:ascii="Segoe UI Semibold" w:hAnsi="Segoe UI Semibold" w:eastAsia="Segoe UI Semibold" w:cs="Segoe UI Semibold"/>
          <w:b/>
          <w:color w:val="742735"/>
          <w:sz w:val="16"/>
          <w:spacing w:val="10"/>
        </w:rPr>
        <w:t>WORLD STAGE  /  GLOBAL OPERATIONS, LIVE MEDIA &amp; LANGUAGE</w:t>
      </w:r>
    </w:p>
    <w:p>
      <w:pPr>
        <w:pStyle w:val="ResumeFeatureTitle"/>
        <w:keepNext/>
        <w:keepLines w:val="0"/>
        <w:widowControl/>
        <w:tabs>
          <w:tab w:pos="9965" w:val="right"/>
        </w:tabs>
        <w:spacing w:before="0" w:after="16" w:line="240" w:lineRule="auto"/>
        <w:ind w:left="202" w:right="202"/>
        <w:shd w:val="clear" w:color="auto" w:fill="F2EEE7"/>
      </w:pPr>
      <w:r>
        <w:rPr>
          <w:rFonts w:ascii="Georgia" w:hAnsi="Georgia" w:eastAsia="Georgia" w:cs="Georgia"/>
          <w:color w:val="171717"/>
          <w:sz w:val="30"/>
        </w:rPr>
        <w:t>18th World Xiangqi Championship</w:t>
      </w:r>
      <w:r>
        <w:rPr>
          <w:rFonts w:ascii="Consolas" w:hAnsi="Consolas" w:eastAsia="Consolas" w:cs="Consolas"/>
          <w:b/>
          <w:color w:val="6F6A63"/>
          <w:sz w:val="17"/>
        </w:rPr>
        <w:tab/>
        <w:t>2023</w:t>
      </w:r>
    </w:p>
    <w:p>
      <w:pPr>
        <w:pStyle w:val="ResumeRole"/>
        <w:keepNext/>
        <w:keepLines w:val="0"/>
        <w:widowControl/>
        <w:spacing w:before="0" w:after="30" w:line="240" w:lineRule="auto"/>
        <w:ind w:left="202" w:right="202"/>
        <w:shd w:val="clear" w:color="auto" w:fill="F2EEE7"/>
      </w:pPr>
      <w:r>
        <w:rPr>
          <w:rFonts w:ascii="Segoe UI" w:hAnsi="Segoe UI" w:eastAsia="Segoe UI" w:cs="Segoe UI"/>
          <w:color w:val="6F6A63"/>
          <w:sz w:val="19"/>
        </w:rPr>
        <w:t>Organizing Committee  ·  Venue Technology, Broadcast &amp; International Operations</w:t>
      </w:r>
    </w:p>
    <w:p>
      <w:pPr>
        <w:numPr>
          <w:ilvl w:val="0"/>
          <w:numId w:val="10"/>
        </w:numPr>
        <w:pStyle w:val="ResumeBullet"/>
        <w:keepNext w:val="0"/>
        <w:keepLines/>
        <w:widowControl/>
        <w:spacing w:before="0" w:after="30" w:line="252" w:lineRule="auto"/>
        <w:ind w:left="202" w:right="202"/>
        <w:shd w:val="clear" w:color="auto" w:fill="F2EEE7"/>
      </w:pPr>
      <w:r>
        <w:rPr>
          <w:rFonts w:ascii="Segoe UI" w:hAnsi="Segoe UI" w:eastAsia="Segoe UI" w:cs="Segoe UI"/>
          <w:color w:val="171717"/>
          <w:sz w:val="19"/>
        </w:rPr>
        <w:t>Designed, built, and operated the venue technology and Tencent live-stream stack end to end—configuring OBS Studio, establishing broadcast workflows, and coordinating directly with Tencent's technical team through live event delivery.</w:t>
      </w:r>
    </w:p>
    <w:p>
      <w:pPr>
        <w:numPr>
          <w:ilvl w:val="0"/>
          <w:numId w:val="10"/>
        </w:numPr>
        <w:pStyle w:val="ResumeBullet"/>
        <w:keepNext w:val="0"/>
        <w:keepLines/>
        <w:widowControl/>
        <w:spacing w:before="0" w:after="30" w:line="252" w:lineRule="auto"/>
        <w:ind w:left="202" w:right="202"/>
        <w:shd w:val="clear" w:color="auto" w:fill="F2EEE7"/>
      </w:pPr>
      <w:r>
        <w:rPr>
          <w:rFonts w:ascii="Segoe UI" w:hAnsi="Segoe UI" w:eastAsia="Segoe UI" w:cs="Segoe UI"/>
          <w:color w:val="171717"/>
          <w:sz w:val="19"/>
        </w:rPr>
        <w:t>Led international-delegation hospitality and venue liaison; provided real-time English, Mandarin, and Cantonese interpretation for referees, players, consular and elected officials, government leaders, and national teams; served as the championship's sole overseas MC and Tencent live-broadcast host.</w:t>
      </w:r>
    </w:p>
    <w:p>
      <w:pPr>
        <w:numPr>
          <w:ilvl w:val="0"/>
          <w:numId w:val="10"/>
        </w:numPr>
        <w:pStyle w:val="ResumeBullet"/>
        <w:keepNext w:val="0"/>
        <w:keepLines/>
        <w:widowControl/>
        <w:spacing w:before="0" w:after="24" w:line="252" w:lineRule="auto"/>
        <w:ind w:left="202" w:right="202"/>
        <w:shd w:val="clear" w:color="auto" w:fill="F2EEE7"/>
      </w:pPr>
      <w:r>
        <w:rPr>
          <w:rFonts w:ascii="Segoe UI" w:hAnsi="Segoe UI" w:eastAsia="Segoe UI" w:cs="Segoe UI"/>
          <w:color w:val="171717"/>
          <w:sz w:val="19"/>
        </w:rPr>
        <w:t>Invited by Xinhua News Agency—China's state news agency—as the only overseas Xiangqi International Master to contribute signed English coverage; authored the opening and closing championship reports.</w:t>
      </w:r>
    </w:p>
    <w:p>
      <w:pPr>
        <w:pStyle w:val="ResumeDetail"/>
        <w:keepNext w:val="0"/>
        <w:keepLines/>
        <w:widowControl/>
        <w:spacing w:before="0" w:after="30" w:line="240" w:lineRule="auto"/>
        <w:ind w:left="202" w:right="202"/>
        <w:shd w:val="clear" w:color="auto" w:fill="F2EEE7"/>
      </w:pPr>
      <w:r>
        <w:rPr>
          <w:rFonts w:ascii="Segoe UI Semibold" w:hAnsi="Segoe UI Semibold" w:eastAsia="Segoe UI Semibold" w:cs="Segoe UI Semibold"/>
          <w:b/>
          <w:color w:val="742735"/>
          <w:sz w:val="16"/>
          <w:spacing w:val="8"/>
        </w:rPr>
        <w:t xml:space="preserve">XINHUA BYLINES  </w:t>
      </w:r>
      <w:hyperlink r:id="rId14" w:history="1">
        <w:r>
          <w:rPr>
            <w:rFonts w:ascii="Segoe UI" w:hAnsi="Segoe UI" w:eastAsia="Segoe UI" w:cs="Segoe UI"/>
            <w:color w:val="632433"/>
            <w:u w:val="single"/>
            <w:sz w:val="18"/>
            <w:szCs w:val="18"/>
          </w:rPr>
          <w:t>Opening report</w:t>
        </w:r>
      </w:hyperlink>
      <w:r>
        <w:rPr>
          <w:rFonts w:ascii="Segoe UI" w:hAnsi="Segoe UI" w:eastAsia="Segoe UI" w:cs="Segoe UI"/>
          <w:color w:val="B8A57C"/>
          <w:sz w:val="18"/>
        </w:rPr>
        <w:t xml:space="preserve">  ·  </w:t>
      </w:r>
      <w:hyperlink r:id="rId15" w:history="1">
        <w:r>
          <w:rPr>
            <w:rFonts w:ascii="Segoe UI" w:hAnsi="Segoe UI" w:eastAsia="Segoe UI" w:cs="Segoe UI"/>
            <w:color w:val="632433"/>
            <w:u w:val="single"/>
            <w:sz w:val="18"/>
            <w:szCs w:val="18"/>
          </w:rPr>
          <w:t>Closing report</w:t>
        </w:r>
      </w:hyperlink>
    </w:p>
    <w:p>
      <w:pPr>
        <w:pStyle w:val="ResumeDetail"/>
        <w:keepNext w:val="0"/>
        <w:keepLines/>
        <w:widowControl/>
        <w:spacing w:before="0" w:after="22" w:line="252" w:lineRule="auto"/>
        <w:ind w:left="202" w:right="202"/>
        <w:shd w:val="clear" w:color="auto" w:fill="F2EEE7"/>
      </w:pPr>
      <w:r>
        <w:rPr>
          <w:rFonts w:ascii="Segoe UI Semibold" w:hAnsi="Segoe UI Semibold" w:eastAsia="Segoe UI Semibold" w:cs="Segoe UI Semibold"/>
          <w:b/>
          <w:color w:val="742735"/>
          <w:sz w:val="16"/>
          <w:spacing w:val="8"/>
        </w:rPr>
        <w:t xml:space="preserve">DISTINCTION  </w:t>
      </w:r>
      <w:r>
        <w:rPr>
          <w:rFonts w:ascii="Segoe UI" w:hAnsi="Segoe UI" w:eastAsia="Segoe UI" w:cs="Segoe UI"/>
          <w:color w:val="171717"/>
          <w:sz w:val="18"/>
        </w:rPr>
        <w:t>International Master of Xiangqi (IM 0150) · Represented the United States; placed 14th at the 2019 World Tournament.</w:t>
      </w:r>
    </w:p>
    <w:p>
      <w:pPr>
        <w:pStyle w:val="ResumeDetail"/>
        <w:keepNext w:val="0"/>
        <w:keepLines/>
        <w:widowControl/>
        <w:spacing w:before="0" w:after="56" w:line="252" w:lineRule="auto"/>
        <w:ind w:left="202" w:right="202"/>
        <w:shd w:val="clear" w:color="auto" w:fill="F2EEE7"/>
        <w:pBdr>
          <w:bottom w:val="single" w:sz="6" w:space="4" w:color="B8A57C"/>
        </w:pBdr>
      </w:pPr>
      <w:r>
        <w:rPr>
          <w:rFonts w:ascii="Segoe UI Semibold" w:hAnsi="Segoe UI Semibold" w:eastAsia="Segoe UI Semibold" w:cs="Segoe UI Semibold"/>
          <w:b/>
          <w:color w:val="742735"/>
          <w:sz w:val="16"/>
          <w:spacing w:val="8"/>
        </w:rPr>
        <w:t xml:space="preserve">COMMUNITY LEADERSHIP  </w:t>
      </w:r>
      <w:r>
        <w:rPr>
          <w:rFonts w:ascii="Segoe UI" w:hAnsi="Segoe UI" w:eastAsia="Segoe UI" w:cs="Segoe UI"/>
          <w:color w:val="171717"/>
          <w:sz w:val="18"/>
        </w:rPr>
        <w:t>Xiangqi Instructor &amp; Community Mentor, San Francisco Public Library - teach strategy and mentor public-program participants across ages and skill levels.</w:t>
      </w:r>
    </w:p>
    <w:p>
      <w:pPr>
        <w:pStyle w:val="Heading1"/>
        <w:keepNext/>
        <w:keepLines w:val="0"/>
        <w:widowControl/>
        <w:spacing w:before="64" w:after="76" w:line="240" w:lineRule="auto"/>
        <w:ind w:left="0" w:right="0"/>
        <w:pBdr>
          <w:bottom w:val="single" w:sz="4" w:space="3" w:color="D8D0C3"/>
        </w:pBdr>
      </w:pPr>
      <w:r>
        <w:rPr>
          <w:rFonts w:ascii="Georgia" w:hAnsi="Georgia" w:eastAsia="Georgia" w:cs="Georgia"/>
          <w:color w:val="742735"/>
          <w:sz w:val="35"/>
        </w:rPr>
        <w:t>04</w:t>
      </w:r>
      <w:r>
        <w:rPr>
          <w:rFonts w:ascii="Segoe UI Semibold" w:hAnsi="Segoe UI Semibold" w:eastAsia="Segoe UI Semibold" w:cs="Segoe UI Semibold"/>
          <w:color w:val="B8A57C"/>
          <w:sz w:val="18"/>
        </w:rPr>
        <w:t xml:space="preserve">  /  </w:t>
      </w:r>
      <w:r>
        <w:rPr>
          <w:rFonts w:ascii="Segoe UI Semibold" w:hAnsi="Segoe UI Semibold" w:eastAsia="Segoe UI Semibold" w:cs="Segoe UI Semibold"/>
          <w:b/>
          <w:color w:val="171717"/>
          <w:sz w:val="19"/>
          <w:spacing w:val="14"/>
        </w:rPr>
        <w:t>ADDITIONAL OPERATIONS</w:t>
      </w:r>
    </w:p>
    <w:p>
      <w:pPr>
        <w:pStyle w:val="ResumeCompany"/>
        <w:keepNext/>
        <w:keepLines w:val="0"/>
        <w:widowControl/>
        <w:tabs>
          <w:tab w:pos="10368" w:val="right"/>
        </w:tabs>
        <w:spacing w:before="24" w:after="10" w:line="240" w:lineRule="auto"/>
        <w:ind w:left="0" w:right="0"/>
      </w:pPr>
      <w:r>
        <w:rPr>
          <w:rFonts w:ascii="Georgia" w:hAnsi="Georgia" w:eastAsia="Georgia" w:cs="Georgia"/>
          <w:b/>
          <w:color w:val="171717"/>
          <w:sz w:val="22"/>
        </w:rPr>
        <w:t>Keroro Travel</w:t>
      </w:r>
      <w:r>
        <w:rPr>
          <w:rFonts w:ascii="Consolas" w:hAnsi="Consolas" w:eastAsia="Consolas" w:cs="Consolas"/>
          <w:b/>
          <w:color w:val="6F6A63"/>
          <w:sz w:val="17"/>
        </w:rPr>
        <w:tab/>
        <w:t>Jul 2024 - Present</w:t>
      </w:r>
    </w:p>
    <w:p>
      <w:pPr>
        <w:pStyle w:val="ResumeRole"/>
        <w:keepNext/>
        <w:keepLines w:val="0"/>
        <w:widowControl/>
        <w:spacing w:before="0" w:after="32" w:line="240" w:lineRule="auto"/>
        <w:ind w:left="0" w:right="0"/>
      </w:pPr>
      <w:r>
        <w:rPr>
          <w:rFonts w:ascii="Segoe UI" w:hAnsi="Segoe UI" w:eastAsia="Segoe UI" w:cs="Segoe UI"/>
          <w:color w:val="6F6A63"/>
          <w:sz w:val="19"/>
        </w:rPr>
        <w:t>General Manager, Travel Technology &amp; Operations</w:t>
      </w:r>
    </w:p>
    <w:p>
      <w:pPr>
        <w:numPr>
          <w:ilvl w:val="0"/>
          <w:numId w:val="10"/>
        </w:numPr>
        <w:pStyle w:val="ResumeBullet"/>
        <w:keepNext w:val="0"/>
        <w:keepLines/>
        <w:widowControl/>
        <w:spacing w:before="0" w:after="20" w:line="252" w:lineRule="auto"/>
        <w:ind w:left="0" w:right="0"/>
      </w:pPr>
      <w:r>
        <w:rPr>
          <w:rFonts w:ascii="Segoe UI" w:hAnsi="Segoe UI" w:eastAsia="Segoe UI" w:cs="Segoe UI"/>
          <w:color w:val="171717"/>
          <w:sz w:val="19"/>
        </w:rPr>
        <w:t>Designed the operating and systems architecture for a travel advisory business, connecting Expedia TAAP, Fora, supplier platforms, and internal workflows for itinerary design, client data, quoting, commissions, and service delivery.</w:t>
      </w:r>
    </w:p>
    <w:p>
      <w:pPr>
        <w:numPr>
          <w:ilvl w:val="0"/>
          <w:numId w:val="10"/>
        </w:numPr>
        <w:pStyle w:val="ResumeBullet"/>
        <w:keepNext w:val="0"/>
        <w:keepLines/>
        <w:widowControl/>
        <w:spacing w:before="0" w:after="20" w:line="252" w:lineRule="auto"/>
        <w:ind w:left="0" w:right="0"/>
      </w:pPr>
      <w:r>
        <w:rPr>
          <w:rFonts w:ascii="Segoe UI" w:hAnsi="Segoe UI" w:eastAsia="Segoe UI" w:cs="Segoe UI"/>
          <w:color w:val="171717"/>
          <w:sz w:val="19"/>
        </w:rPr>
        <w:t>Developed a network of tour operators and destination suppliers to source premium inventory; personally evaluated luxury travel products and converted firsthand findings into curated itineraries and client recommendations.</w:t>
      </w:r>
    </w:p>
    <w:p>
      <w:pPr>
        <w:pStyle w:val="Heading1"/>
        <w:keepNext/>
        <w:keepLines w:val="0"/>
        <w:widowControl/>
        <w:spacing w:before="64" w:after="76" w:line="240" w:lineRule="auto"/>
        <w:ind w:left="0" w:right="0"/>
        <w:pBdr>
          <w:bottom w:val="single" w:sz="4" w:space="3" w:color="D8D0C3"/>
        </w:pBdr>
      </w:pPr>
      <w:r>
        <w:rPr>
          <w:rFonts w:ascii="Georgia" w:hAnsi="Georgia" w:eastAsia="Georgia" w:cs="Georgia"/>
          <w:color w:val="742735"/>
          <w:sz w:val="35"/>
        </w:rPr>
        <w:t>05</w:t>
      </w:r>
      <w:r>
        <w:rPr>
          <w:rFonts w:ascii="Segoe UI Semibold" w:hAnsi="Segoe UI Semibold" w:eastAsia="Segoe UI Semibold" w:cs="Segoe UI Semibold"/>
          <w:color w:val="B8A57C"/>
          <w:sz w:val="18"/>
        </w:rPr>
        <w:t xml:space="preserve">  /  </w:t>
      </w:r>
      <w:r>
        <w:rPr>
          <w:rFonts w:ascii="Segoe UI Semibold" w:hAnsi="Segoe UI Semibold" w:eastAsia="Segoe UI Semibold" w:cs="Segoe UI Semibold"/>
          <w:b/>
          <w:color w:val="171717"/>
          <w:sz w:val="19"/>
          <w:spacing w:val="14"/>
        </w:rPr>
        <w:t>EDUCATION / CREDENTIALS</w:t>
      </w:r>
    </w:p>
    <w:p>
      <w:pPr>
        <w:pStyle w:val="ResumeCompany"/>
        <w:keepNext/>
        <w:keepLines w:val="0"/>
        <w:widowControl/>
        <w:tabs>
          <w:tab w:pos="10368" w:val="right"/>
        </w:tabs>
        <w:spacing w:before="22" w:after="10" w:line="240" w:lineRule="auto"/>
        <w:ind w:left="0" w:right="0"/>
      </w:pPr>
      <w:r>
        <w:rPr>
          <w:rFonts w:ascii="Georgia" w:hAnsi="Georgia" w:eastAsia="Georgia" w:cs="Georgia"/>
          <w:b/>
          <w:color w:val="171717"/>
          <w:sz w:val="22"/>
        </w:rPr>
        <w:t>University of California, Los Angeles (UCLA)</w:t>
      </w:r>
      <w:r>
        <w:rPr>
          <w:rFonts w:ascii="Consolas" w:hAnsi="Consolas" w:eastAsia="Consolas" w:cs="Consolas"/>
          <w:b/>
          <w:color w:val="6F6A63"/>
          <w:sz w:val="17"/>
        </w:rPr>
        <w:tab/>
        <w:t>2012 - 2014</w:t>
      </w:r>
    </w:p>
    <w:p>
      <w:pPr>
        <w:pStyle w:val="ResumeRole"/>
        <w:keepNext/>
        <w:keepLines w:val="0"/>
        <w:widowControl/>
        <w:spacing w:before="0" w:after="32" w:line="240" w:lineRule="auto"/>
        <w:ind w:left="0" w:right="0"/>
      </w:pPr>
      <w:r>
        <w:rPr>
          <w:rFonts w:ascii="Segoe UI" w:hAnsi="Segoe UI" w:eastAsia="Segoe UI" w:cs="Segoe UI"/>
          <w:color w:val="6F6A63"/>
          <w:sz w:val="19"/>
        </w:rPr>
        <w:t>Bachelor's degree, Mathematics/Economics · Minor in Statistics</w:t>
      </w:r>
    </w:p>
    <w:p>
      <w:pPr>
        <w:pStyle w:val="ResumeDetail"/>
        <w:keepNext w:val="0"/>
        <w:keepLines/>
        <w:widowControl/>
        <w:spacing w:before="0" w:after="34" w:line="257" w:lineRule="auto"/>
        <w:ind w:left="0" w:right="0"/>
        <w:pBdr>
          <w:bottom w:val="single" w:sz="2" w:space="2" w:color="D8D0C3"/>
        </w:pBdr>
      </w:pPr>
      <w:r>
        <w:rPr>
          <w:rFonts w:ascii="Georgia" w:hAnsi="Georgia" w:eastAsia="Georgia" w:cs="Georgia"/>
          <w:color w:val="742735"/>
          <w:sz w:val="20"/>
        </w:rPr>
        <w:t xml:space="preserve">CERTIFICATIONS  </w:t>
      </w:r>
      <w:r>
        <w:rPr>
          <w:rFonts w:ascii="Segoe UI" w:hAnsi="Segoe UI" w:eastAsia="Segoe UI" w:cs="Segoe UI"/>
          <w:color w:val="171717"/>
          <w:sz w:val="19"/>
        </w:rPr>
        <w:t>FIS/SunGard Front Arena AEF Base Certified Developer; CFA Claritas Investment Certificate</w:t>
      </w:r>
    </w:p>
    <w:p>
      <w:pPr>
        <w:pStyle w:val="ResumeDetail"/>
        <w:keepNext w:val="0"/>
        <w:keepLines/>
        <w:widowControl/>
        <w:spacing w:before="0" w:after="52" w:line="257" w:lineRule="auto"/>
        <w:ind w:left="0" w:right="0"/>
      </w:pPr>
      <w:r>
        <w:rPr>
          <w:rFonts w:ascii="Georgia" w:hAnsi="Georgia" w:eastAsia="Georgia" w:cs="Georgia"/>
          <w:color w:val="742735"/>
          <w:sz w:val="20"/>
        </w:rPr>
        <w:t xml:space="preserve">LANGUAGES  </w:t>
      </w:r>
      <w:r>
        <w:rPr>
          <w:rFonts w:ascii="Segoe UI" w:hAnsi="Segoe UI" w:eastAsia="Segoe UI" w:cs="Segoe UI"/>
          <w:color w:val="171717"/>
          <w:sz w:val="19"/>
        </w:rPr>
        <w:t>English — full professional proficiency; Cantonese and Mandarin — native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2240" w:h="15840"/>
      <w:pgMar w:top="792" w:right="936" w:bottom="792" w:left="936" w:header="360" w:footer="25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umeFooter"/>
      <w:keepNext w:val="0"/>
      <w:keepLines w:val="0"/>
      <w:widowControl/>
      <w:tabs>
        <w:tab w:pos="10368" w:val="right"/>
      </w:tabs>
      <w:spacing w:before="20" w:after="60" w:line="240" w:lineRule="auto"/>
      <w:ind w:left="0" w:right="0"/>
      <w:jc w:val="left"/>
      <w:pBdr>
        <w:bottom w:val="single" w:sz="4" w:space="3" w:color="B8A57C"/>
      </w:pBdr>
    </w:pPr>
    <w:r/>
    <w:r>
      <w:rPr>
        <w:rFonts w:ascii="Consolas" w:hAnsi="Consolas" w:eastAsia="Consolas" w:cs="Consolas"/>
        <w:color w:val="6F6A63"/>
        <w:sz w:val="15"/>
        <w:spacing w:val="8"/>
      </w:rPr>
      <w:t>STEPHEN CHO / AI GOVERNANCE ARCHITECT</w:t>
    </w:r>
    <w:r>
      <w:rPr>
        <w:rFonts w:ascii="Georgia" w:hAnsi="Georgia" w:eastAsia="Georgia" w:cs="Georgia"/>
        <w:color w:val="742735"/>
        <w:sz w:val="26"/>
      </w:rPr>
      <w:tab/>
      <w:t>02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300"/>
        </w:tabs>
        <w:ind w:left="300" w:hanging="150"/>
      </w:pPr>
      <w:rPr>
        <w:rFonts w:ascii="Segoe UI" w:hAnsi="Segoe UI"/>
        <w:color w:val="742735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36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57" w:lineRule="auto"/>
    </w:pPr>
    <w:rPr>
      <w:rFonts w:ascii="Segoe UI" w:hAnsi="Segoe UI" w:eastAsia="Segoe UI"/>
      <w:b w:val="0"/>
      <w:i w:val="0"/>
      <w:color w:val="17171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 w:line="240" w:lineRule="auto"/>
      <w:outlineLvl w:val="0"/>
    </w:pPr>
    <w:rPr>
      <w:rFonts w:asciiTheme="majorHAnsi" w:eastAsiaTheme="majorEastAsia" w:hAnsiTheme="majorHAnsi" w:cstheme="majorBidi" w:ascii="Segoe UI Semibold" w:hAnsi="Segoe UI Semibold" w:eastAsia="Segoe UI Semibold"/>
      <w:b/>
      <w:bCs/>
      <w:i w:val="0"/>
      <w:color w:val="171717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 w:line="240" w:lineRule="auto"/>
      <w:outlineLvl w:val="1"/>
    </w:pPr>
    <w:rPr>
      <w:rFonts w:asciiTheme="majorHAnsi" w:eastAsiaTheme="majorEastAsia" w:hAnsiTheme="majorHAnsi" w:cstheme="majorBidi" w:ascii="Segoe UI" w:hAnsi="Segoe UI" w:eastAsia="Segoe UI"/>
      <w:b/>
      <w:bCs/>
      <w:i w:val="0"/>
      <w:color w:val="171717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 w:line="240" w:lineRule="auto"/>
      <w:outlineLvl w:val="2"/>
    </w:pPr>
    <w:rPr>
      <w:rFonts w:asciiTheme="majorHAnsi" w:eastAsiaTheme="majorEastAsia" w:hAnsiTheme="majorHAnsi" w:cstheme="majorBidi" w:ascii="Segoe UI" w:hAnsi="Segoe UI" w:eastAsia="Segoe UI"/>
      <w:b/>
      <w:bCs/>
      <w:i w:val="0"/>
      <w:color w:val="6F6A63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226" w:lineRule="auto" w:before="0"/>
      <w:contextualSpacing/>
    </w:pPr>
    <w:rPr>
      <w:rFonts w:asciiTheme="majorHAnsi" w:eastAsiaTheme="majorEastAsia" w:hAnsiTheme="majorHAnsi" w:cstheme="majorBidi" w:ascii="Georgia" w:hAnsi="Georgia" w:eastAsia="Georgia"/>
      <w:b w:val="0"/>
      <w:i w:val="0"/>
      <w:color w:val="171717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0" w:line="240" w:lineRule="auto"/>
    </w:pPr>
    <w:rPr>
      <w:rFonts w:asciiTheme="majorHAnsi" w:eastAsiaTheme="majorEastAsia" w:hAnsiTheme="majorHAnsi" w:cstheme="majorBidi" w:ascii="Segoe UI Semibold" w:hAnsi="Segoe UI Semibold" w:eastAsia="Segoe UI Semibold"/>
      <w:b/>
      <w:i w:val="0"/>
      <w:iCs/>
      <w:color w:val="74273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Kicker">
    <w:name w:val="Resume Kicker"/>
    <w:basedOn w:val="Normal"/>
    <w:pPr>
      <w:spacing w:before="0" w:after="0" w:line="254" w:lineRule="auto"/>
    </w:pPr>
    <w:rPr>
      <w:rFonts w:ascii="Segoe UI Semibold" w:hAnsi="Segoe UI Semibold" w:eastAsia="Segoe UI Semibold"/>
      <w:b/>
      <w:i w:val="0"/>
      <w:color w:val="742735"/>
      <w:sz w:val="16"/>
    </w:rPr>
  </w:style>
  <w:style w:type="paragraph" w:customStyle="1" w:styleId="ResumeName">
    <w:name w:val="Resume Name"/>
    <w:basedOn w:val="Normal"/>
    <w:pPr>
      <w:spacing w:before="0" w:after="0" w:line="254" w:lineRule="auto"/>
    </w:pPr>
    <w:rPr>
      <w:rFonts w:ascii="Georgia" w:hAnsi="Georgia" w:eastAsia="Georgia"/>
      <w:b w:val="0"/>
      <w:i w:val="0"/>
      <w:color w:val="171717"/>
      <w:sz w:val="68"/>
    </w:rPr>
  </w:style>
  <w:style w:type="paragraph" w:customStyle="1" w:styleId="ResumeTagline">
    <w:name w:val="Resume Tagline"/>
    <w:basedOn w:val="Normal"/>
    <w:pPr>
      <w:spacing w:before="0" w:after="0" w:line="254" w:lineRule="auto"/>
    </w:pPr>
    <w:rPr>
      <w:rFonts w:ascii="Segoe UI Semibold" w:hAnsi="Segoe UI Semibold" w:eastAsia="Segoe UI Semibold"/>
      <w:b/>
      <w:i w:val="0"/>
      <w:color w:val="742735"/>
      <w:sz w:val="24"/>
    </w:rPr>
  </w:style>
  <w:style w:type="paragraph" w:customStyle="1" w:styleId="ResumeContact">
    <w:name w:val="Resume Contact"/>
    <w:basedOn w:val="Normal"/>
    <w:pPr>
      <w:spacing w:before="0" w:after="0" w:line="254" w:lineRule="auto"/>
    </w:pPr>
    <w:rPr>
      <w:rFonts w:ascii="Segoe UI" w:hAnsi="Segoe UI" w:eastAsia="Segoe UI"/>
      <w:b w:val="0"/>
      <w:i w:val="0"/>
      <w:color w:val="6F6A63"/>
      <w:sz w:val="18"/>
    </w:rPr>
  </w:style>
  <w:style w:type="paragraph" w:customStyle="1" w:styleId="ResumeSignal">
    <w:name w:val="Resume Signal"/>
    <w:basedOn w:val="Normal"/>
    <w:pPr>
      <w:spacing w:before="0" w:after="0" w:line="254" w:lineRule="auto"/>
    </w:pPr>
    <w:rPr>
      <w:rFonts w:ascii="Segoe UI Semibold" w:hAnsi="Segoe UI Semibold" w:eastAsia="Segoe UI Semibold"/>
      <w:b/>
      <w:i w:val="0"/>
      <w:color w:val="6F6A63"/>
      <w:sz w:val="16"/>
    </w:rPr>
  </w:style>
  <w:style w:type="paragraph" w:customStyle="1" w:styleId="ResumeHero">
    <w:name w:val="Resume Hero"/>
    <w:basedOn w:val="Normal"/>
    <w:pPr>
      <w:spacing w:before="0" w:after="0" w:line="254" w:lineRule="auto"/>
    </w:pPr>
    <w:rPr>
      <w:rFonts w:ascii="Georgia" w:hAnsi="Georgia" w:eastAsia="Georgia"/>
      <w:b w:val="0"/>
      <w:i w:val="0"/>
      <w:color w:val="171717"/>
      <w:sz w:val="30"/>
    </w:rPr>
  </w:style>
  <w:style w:type="paragraph" w:customStyle="1" w:styleId="ResumeEvidence">
    <w:name w:val="Resume Evidence"/>
    <w:basedOn w:val="Normal"/>
    <w:pPr>
      <w:spacing w:before="0" w:after="0" w:line="254" w:lineRule="auto"/>
    </w:pPr>
    <w:rPr>
      <w:rFonts w:ascii="Segoe UI Semibold" w:hAnsi="Segoe UI Semibold" w:eastAsia="Segoe UI Semibold"/>
      <w:b/>
      <w:i w:val="0"/>
      <w:color w:val="6F6A63"/>
      <w:sz w:val="16"/>
    </w:rPr>
  </w:style>
  <w:style w:type="paragraph" w:customStyle="1" w:styleId="ResumeCompany">
    <w:name w:val="Resume Company"/>
    <w:basedOn w:val="Normal"/>
    <w:pPr>
      <w:spacing w:before="0" w:after="0" w:line="254" w:lineRule="auto"/>
    </w:pPr>
    <w:rPr>
      <w:rFonts w:ascii="Georgia" w:hAnsi="Georgia" w:eastAsia="Georgia"/>
      <w:b/>
      <w:i w:val="0"/>
      <w:color w:val="171717"/>
      <w:sz w:val="22"/>
    </w:rPr>
  </w:style>
  <w:style w:type="paragraph" w:customStyle="1" w:styleId="ResumeRole">
    <w:name w:val="Resume Role"/>
    <w:basedOn w:val="Normal"/>
    <w:pPr>
      <w:spacing w:before="0" w:after="0" w:line="254" w:lineRule="auto"/>
    </w:pPr>
    <w:rPr>
      <w:rFonts w:ascii="Segoe UI" w:hAnsi="Segoe UI" w:eastAsia="Segoe UI"/>
      <w:b w:val="0"/>
      <w:i w:val="0"/>
      <w:color w:val="6F6A63"/>
      <w:sz w:val="19"/>
    </w:rPr>
  </w:style>
  <w:style w:type="paragraph" w:customStyle="1" w:styleId="ResumeBullet">
    <w:name w:val="Resume Bullet"/>
    <w:basedOn w:val="Normal"/>
    <w:pPr>
      <w:spacing w:before="0" w:after="0" w:line="254" w:lineRule="auto"/>
    </w:pPr>
    <w:rPr>
      <w:rFonts w:ascii="Segoe UI" w:hAnsi="Segoe UI" w:eastAsia="Segoe UI"/>
      <w:b w:val="0"/>
      <w:i w:val="0"/>
      <w:color w:val="171717"/>
      <w:sz w:val="19"/>
    </w:rPr>
  </w:style>
  <w:style w:type="paragraph" w:customStyle="1" w:styleId="ResumeDetail">
    <w:name w:val="Resume Detail"/>
    <w:basedOn w:val="Normal"/>
    <w:pPr>
      <w:spacing w:before="0" w:after="0" w:line="254" w:lineRule="auto"/>
    </w:pPr>
    <w:rPr>
      <w:rFonts w:ascii="Segoe UI" w:hAnsi="Segoe UI" w:eastAsia="Segoe UI"/>
      <w:b w:val="0"/>
      <w:i w:val="0"/>
      <w:color w:val="171717"/>
      <w:sz w:val="19"/>
    </w:rPr>
  </w:style>
  <w:style w:type="paragraph" w:customStyle="1" w:styleId="ResumeFeaturedLabel">
    <w:name w:val="Resume Featured Label"/>
    <w:basedOn w:val="Normal"/>
    <w:pPr>
      <w:spacing w:before="0" w:after="0" w:line="254" w:lineRule="auto"/>
    </w:pPr>
    <w:rPr>
      <w:rFonts w:ascii="Segoe UI Semibold" w:hAnsi="Segoe UI Semibold" w:eastAsia="Segoe UI Semibold"/>
      <w:b/>
      <w:i w:val="0"/>
      <w:color w:val="742735"/>
      <w:sz w:val="16"/>
    </w:rPr>
  </w:style>
  <w:style w:type="paragraph" w:customStyle="1" w:styleId="ResumeArchitecture">
    <w:name w:val="Resume Architecture"/>
    <w:basedOn w:val="Normal"/>
    <w:pPr>
      <w:spacing w:before="0" w:after="0" w:line="254" w:lineRule="auto"/>
    </w:pPr>
    <w:rPr>
      <w:rFonts w:ascii="Georgia" w:hAnsi="Georgia" w:eastAsia="Georgia"/>
      <w:b w:val="0"/>
      <w:i w:val="0"/>
      <w:color w:val="171717"/>
      <w:sz w:val="21"/>
    </w:rPr>
  </w:style>
  <w:style w:type="paragraph" w:customStyle="1" w:styleId="ResumeFeatureTitle">
    <w:name w:val="Resume Feature Title"/>
    <w:basedOn w:val="Normal"/>
    <w:pPr>
      <w:spacing w:before="0" w:after="0" w:line="254" w:lineRule="auto"/>
    </w:pPr>
    <w:rPr>
      <w:rFonts w:ascii="Georgia" w:hAnsi="Georgia" w:eastAsia="Georgia"/>
      <w:b w:val="0"/>
      <w:i w:val="0"/>
      <w:color w:val="171717"/>
      <w:sz w:val="30"/>
    </w:rPr>
  </w:style>
  <w:style w:type="paragraph" w:customStyle="1" w:styleId="ResumeFooter">
    <w:name w:val="Resume Footer"/>
    <w:basedOn w:val="Normal"/>
    <w:pPr>
      <w:spacing w:before="0" w:after="0" w:line="254" w:lineRule="auto"/>
    </w:pPr>
    <w:rPr>
      <w:rFonts w:ascii="Consolas" w:hAnsi="Consolas" w:eastAsia="Consolas"/>
      <w:b w:val="0"/>
      <w:i w:val="0"/>
      <w:color w:val="6F6A63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yperlink" Target="https://www.linkedin.com/in/stephen-cho-50226699" TargetMode="External"/><Relationship Id="rId14" Type="http://schemas.openxmlformats.org/officeDocument/2006/relationships/hyperlink" Target="https://english.news.cn/20231122/6d1d9d39de224f4ab77c066e2427cf7e/c.html" TargetMode="External"/><Relationship Id="rId15" Type="http://schemas.openxmlformats.org/officeDocument/2006/relationships/hyperlink" Target="https://english.news.cn/20231126/20c73fa3f10940aa880e24482bd0c7d5/c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Stephen Cho - AI Governance Architect Resume</dc:title>
  <dc:subject>Agentic systems, quantitative AI governance, capital-markets platforms, and risk operations</dc:subject>
  <dc:creator>Stephen Cho</dc:creator>
  <cp:keywords>AI governance architect, agentic systems, risk-aware routing, bounded authority, capital markets, risk operations, Python, SQL, FIX, Front Arena, Calypso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