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CEE" w:rsidRDefault="00D76CEE" w:rsidP="008D5FBF">
      <w:pPr>
        <w:pStyle w:val="Heading1"/>
        <w:spacing w:before="0"/>
      </w:pPr>
      <w:bookmarkStart w:id="0" w:name="_Toc523229300"/>
    </w:p>
    <w:p w:rsidR="00B15632" w:rsidRDefault="00005082" w:rsidP="008D5FBF">
      <w:pPr>
        <w:pStyle w:val="Heading1"/>
        <w:spacing w:before="0"/>
      </w:pPr>
      <w:bookmarkStart w:id="1" w:name="_Toc523236397"/>
      <w:r>
        <w:t>AQUATOX JSON Structure Documentation</w:t>
      </w:r>
      <w:bookmarkEnd w:id="0"/>
      <w:bookmarkEnd w:id="1"/>
    </w:p>
    <w:sdt>
      <w:sdtPr>
        <w:id w:val="50247988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D76CEE" w:rsidRDefault="00D76CEE">
          <w:pPr>
            <w:pStyle w:val="TOCHeading"/>
          </w:pPr>
          <w:r>
            <w:t>Contents</w:t>
          </w:r>
        </w:p>
        <w:p w:rsidR="00EC3CD1" w:rsidRDefault="00D76CEE">
          <w:pPr>
            <w:pStyle w:val="TOC1"/>
            <w:tabs>
              <w:tab w:val="right" w:leader="dot" w:pos="9350"/>
            </w:tabs>
            <w:rPr>
              <w:rFonts w:eastAsiaTheme="minorEastAsia"/>
              <w:noProof/>
            </w:rPr>
          </w:pPr>
          <w:r>
            <w:fldChar w:fldCharType="begin"/>
          </w:r>
          <w:r>
            <w:instrText xml:space="preserve"> TOC \o "1-3" \h \z \u </w:instrText>
          </w:r>
          <w:r>
            <w:fldChar w:fldCharType="separate"/>
          </w:r>
        </w:p>
        <w:p w:rsidR="00EC3CD1" w:rsidRDefault="00EC3CD1">
          <w:pPr>
            <w:pStyle w:val="TOC2"/>
            <w:tabs>
              <w:tab w:val="right" w:leader="dot" w:pos="9350"/>
            </w:tabs>
            <w:rPr>
              <w:rFonts w:eastAsiaTheme="minorEastAsia"/>
              <w:noProof/>
            </w:rPr>
          </w:pPr>
          <w:hyperlink w:anchor="_Toc523236398" w:history="1">
            <w:r w:rsidRPr="00C4051D">
              <w:rPr>
                <w:rStyle w:val="Hyperlink"/>
                <w:noProof/>
              </w:rPr>
              <w:t>Architecture</w:t>
            </w:r>
            <w:r>
              <w:rPr>
                <w:noProof/>
                <w:webHidden/>
              </w:rPr>
              <w:tab/>
            </w:r>
            <w:r>
              <w:rPr>
                <w:noProof/>
                <w:webHidden/>
              </w:rPr>
              <w:fldChar w:fldCharType="begin"/>
            </w:r>
            <w:r>
              <w:rPr>
                <w:noProof/>
                <w:webHidden/>
              </w:rPr>
              <w:instrText xml:space="preserve"> PAGEREF _Toc523236398 \h </w:instrText>
            </w:r>
            <w:r>
              <w:rPr>
                <w:noProof/>
                <w:webHidden/>
              </w:rPr>
            </w:r>
            <w:r>
              <w:rPr>
                <w:noProof/>
                <w:webHidden/>
              </w:rPr>
              <w:fldChar w:fldCharType="separate"/>
            </w:r>
            <w:r w:rsidR="0097780D">
              <w:rPr>
                <w:noProof/>
                <w:webHidden/>
              </w:rPr>
              <w:t>2</w:t>
            </w:r>
            <w:r>
              <w:rPr>
                <w:noProof/>
                <w:webHidden/>
              </w:rPr>
              <w:fldChar w:fldCharType="end"/>
            </w:r>
          </w:hyperlink>
        </w:p>
        <w:p w:rsidR="00EC3CD1" w:rsidRDefault="00EC3CD1">
          <w:pPr>
            <w:pStyle w:val="TOC2"/>
            <w:tabs>
              <w:tab w:val="right" w:leader="dot" w:pos="9350"/>
            </w:tabs>
            <w:rPr>
              <w:rFonts w:eastAsiaTheme="minorEastAsia"/>
              <w:noProof/>
            </w:rPr>
          </w:pPr>
          <w:hyperlink w:anchor="_Toc523236399" w:history="1">
            <w:r w:rsidRPr="00C4051D">
              <w:rPr>
                <w:rStyle w:val="Hyperlink"/>
                <w:noProof/>
              </w:rPr>
              <w:t>Type Bindings</w:t>
            </w:r>
            <w:r>
              <w:rPr>
                <w:noProof/>
                <w:webHidden/>
              </w:rPr>
              <w:tab/>
            </w:r>
            <w:r>
              <w:rPr>
                <w:noProof/>
                <w:webHidden/>
              </w:rPr>
              <w:fldChar w:fldCharType="begin"/>
            </w:r>
            <w:r>
              <w:rPr>
                <w:noProof/>
                <w:webHidden/>
              </w:rPr>
              <w:instrText xml:space="preserve"> PAGEREF _Toc523236399 \h </w:instrText>
            </w:r>
            <w:r>
              <w:rPr>
                <w:noProof/>
                <w:webHidden/>
              </w:rPr>
            </w:r>
            <w:r>
              <w:rPr>
                <w:noProof/>
                <w:webHidden/>
              </w:rPr>
              <w:fldChar w:fldCharType="separate"/>
            </w:r>
            <w:r w:rsidR="0097780D">
              <w:rPr>
                <w:noProof/>
                <w:webHidden/>
              </w:rPr>
              <w:t>2</w:t>
            </w:r>
            <w:r>
              <w:rPr>
                <w:noProof/>
                <w:webHidden/>
              </w:rPr>
              <w:fldChar w:fldCharType="end"/>
            </w:r>
          </w:hyperlink>
        </w:p>
        <w:p w:rsidR="00EC3CD1" w:rsidRDefault="00EC3CD1">
          <w:pPr>
            <w:pStyle w:val="TOC2"/>
            <w:tabs>
              <w:tab w:val="right" w:leader="dot" w:pos="9350"/>
            </w:tabs>
            <w:rPr>
              <w:rFonts w:eastAsiaTheme="minorEastAsia"/>
              <w:noProof/>
            </w:rPr>
          </w:pPr>
          <w:hyperlink w:anchor="_Toc523236400" w:history="1">
            <w:r w:rsidRPr="00C4051D">
              <w:rPr>
                <w:rStyle w:val="Hyperlink"/>
                <w:noProof/>
              </w:rPr>
              <w:t>AQUATOXSegment JSON</w:t>
            </w:r>
            <w:r>
              <w:rPr>
                <w:noProof/>
                <w:webHidden/>
              </w:rPr>
              <w:tab/>
            </w:r>
            <w:r>
              <w:rPr>
                <w:noProof/>
                <w:webHidden/>
              </w:rPr>
              <w:fldChar w:fldCharType="begin"/>
            </w:r>
            <w:r>
              <w:rPr>
                <w:noProof/>
                <w:webHidden/>
              </w:rPr>
              <w:instrText xml:space="preserve"> PAGEREF _Toc523236400 \h </w:instrText>
            </w:r>
            <w:r>
              <w:rPr>
                <w:noProof/>
                <w:webHidden/>
              </w:rPr>
            </w:r>
            <w:r>
              <w:rPr>
                <w:noProof/>
                <w:webHidden/>
              </w:rPr>
              <w:fldChar w:fldCharType="separate"/>
            </w:r>
            <w:r w:rsidR="0097780D">
              <w:rPr>
                <w:noProof/>
                <w:webHidden/>
              </w:rPr>
              <w:t>5</w:t>
            </w:r>
            <w:r>
              <w:rPr>
                <w:noProof/>
                <w:webHidden/>
              </w:rPr>
              <w:fldChar w:fldCharType="end"/>
            </w:r>
          </w:hyperlink>
        </w:p>
        <w:p w:rsidR="00EC3CD1" w:rsidRDefault="00EC3CD1">
          <w:pPr>
            <w:pStyle w:val="TOC2"/>
            <w:tabs>
              <w:tab w:val="right" w:leader="dot" w:pos="9350"/>
            </w:tabs>
            <w:rPr>
              <w:rFonts w:eastAsiaTheme="minorEastAsia"/>
              <w:noProof/>
            </w:rPr>
          </w:pPr>
          <w:hyperlink w:anchor="_Toc523236401" w:history="1">
            <w:r w:rsidRPr="00C4051D">
              <w:rPr>
                <w:rStyle w:val="Hyperlink"/>
                <w:noProof/>
              </w:rPr>
              <w:t>“SV” Array</w:t>
            </w:r>
            <w:r>
              <w:rPr>
                <w:noProof/>
                <w:webHidden/>
              </w:rPr>
              <w:tab/>
            </w:r>
            <w:r>
              <w:rPr>
                <w:noProof/>
                <w:webHidden/>
              </w:rPr>
              <w:fldChar w:fldCharType="begin"/>
            </w:r>
            <w:r>
              <w:rPr>
                <w:noProof/>
                <w:webHidden/>
              </w:rPr>
              <w:instrText xml:space="preserve"> PAGEREF _Toc523236401 \h </w:instrText>
            </w:r>
            <w:r>
              <w:rPr>
                <w:noProof/>
                <w:webHidden/>
              </w:rPr>
            </w:r>
            <w:r>
              <w:rPr>
                <w:noProof/>
                <w:webHidden/>
              </w:rPr>
              <w:fldChar w:fldCharType="separate"/>
            </w:r>
            <w:r w:rsidR="0097780D">
              <w:rPr>
                <w:noProof/>
                <w:webHidden/>
              </w:rPr>
              <w:t>5</w:t>
            </w:r>
            <w:r>
              <w:rPr>
                <w:noProof/>
                <w:webHidden/>
              </w:rPr>
              <w:fldChar w:fldCharType="end"/>
            </w:r>
          </w:hyperlink>
        </w:p>
        <w:p w:rsidR="00EC3CD1" w:rsidRDefault="00EC3CD1">
          <w:pPr>
            <w:pStyle w:val="TOC2"/>
            <w:tabs>
              <w:tab w:val="right" w:leader="dot" w:pos="9350"/>
            </w:tabs>
            <w:rPr>
              <w:rFonts w:eastAsiaTheme="minorEastAsia"/>
              <w:noProof/>
            </w:rPr>
          </w:pPr>
          <w:hyperlink w:anchor="_Toc523236402" w:history="1">
            <w:r w:rsidRPr="00C4051D">
              <w:rPr>
                <w:rStyle w:val="Hyperlink"/>
                <w:noProof/>
              </w:rPr>
              <w:t>TStateVariable Object</w:t>
            </w:r>
            <w:r>
              <w:rPr>
                <w:noProof/>
                <w:webHidden/>
              </w:rPr>
              <w:tab/>
            </w:r>
            <w:r>
              <w:rPr>
                <w:noProof/>
                <w:webHidden/>
              </w:rPr>
              <w:fldChar w:fldCharType="begin"/>
            </w:r>
            <w:r>
              <w:rPr>
                <w:noProof/>
                <w:webHidden/>
              </w:rPr>
              <w:instrText xml:space="preserve"> PAGEREF _Toc523236402 \h </w:instrText>
            </w:r>
            <w:r>
              <w:rPr>
                <w:noProof/>
                <w:webHidden/>
              </w:rPr>
            </w:r>
            <w:r>
              <w:rPr>
                <w:noProof/>
                <w:webHidden/>
              </w:rPr>
              <w:fldChar w:fldCharType="separate"/>
            </w:r>
            <w:r w:rsidR="0097780D">
              <w:rPr>
                <w:noProof/>
                <w:webHidden/>
              </w:rPr>
              <w:t>5</w:t>
            </w:r>
            <w:r>
              <w:rPr>
                <w:noProof/>
                <w:webHidden/>
              </w:rPr>
              <w:fldChar w:fldCharType="end"/>
            </w:r>
          </w:hyperlink>
        </w:p>
        <w:p w:rsidR="00EC3CD1" w:rsidRDefault="00EC3CD1">
          <w:pPr>
            <w:pStyle w:val="TOC2"/>
            <w:tabs>
              <w:tab w:val="right" w:leader="dot" w:pos="9350"/>
            </w:tabs>
            <w:rPr>
              <w:rFonts w:eastAsiaTheme="minorEastAsia"/>
              <w:noProof/>
            </w:rPr>
          </w:pPr>
          <w:hyperlink w:anchor="_Toc523236403" w:history="1">
            <w:r w:rsidRPr="00C4051D">
              <w:rPr>
                <w:rStyle w:val="Hyperlink"/>
                <w:noProof/>
              </w:rPr>
              <w:t>TLoadings Object</w:t>
            </w:r>
            <w:r>
              <w:rPr>
                <w:noProof/>
                <w:webHidden/>
              </w:rPr>
              <w:tab/>
            </w:r>
            <w:r>
              <w:rPr>
                <w:noProof/>
                <w:webHidden/>
              </w:rPr>
              <w:fldChar w:fldCharType="begin"/>
            </w:r>
            <w:r>
              <w:rPr>
                <w:noProof/>
                <w:webHidden/>
              </w:rPr>
              <w:instrText xml:space="preserve"> PAGEREF _Toc523236403 \h </w:instrText>
            </w:r>
            <w:r>
              <w:rPr>
                <w:noProof/>
                <w:webHidden/>
              </w:rPr>
            </w:r>
            <w:r>
              <w:rPr>
                <w:noProof/>
                <w:webHidden/>
              </w:rPr>
              <w:fldChar w:fldCharType="separate"/>
            </w:r>
            <w:r w:rsidR="0097780D">
              <w:rPr>
                <w:noProof/>
                <w:webHidden/>
              </w:rPr>
              <w:t>8</w:t>
            </w:r>
            <w:r>
              <w:rPr>
                <w:noProof/>
                <w:webHidden/>
              </w:rPr>
              <w:fldChar w:fldCharType="end"/>
            </w:r>
          </w:hyperlink>
        </w:p>
        <w:p w:rsidR="00EC3CD1" w:rsidRDefault="00EC3CD1">
          <w:pPr>
            <w:pStyle w:val="TOC2"/>
            <w:tabs>
              <w:tab w:val="right" w:leader="dot" w:pos="9350"/>
            </w:tabs>
            <w:rPr>
              <w:rFonts w:eastAsiaTheme="minorEastAsia"/>
              <w:noProof/>
            </w:rPr>
          </w:pPr>
          <w:hyperlink w:anchor="_Toc523236404" w:history="1">
            <w:r w:rsidRPr="00C4051D">
              <w:rPr>
                <w:rStyle w:val="Hyperlink"/>
                <w:noProof/>
              </w:rPr>
              <w:t>Input/Output Format</w:t>
            </w:r>
            <w:r>
              <w:rPr>
                <w:noProof/>
                <w:webHidden/>
              </w:rPr>
              <w:tab/>
            </w:r>
            <w:r>
              <w:rPr>
                <w:noProof/>
                <w:webHidden/>
              </w:rPr>
              <w:fldChar w:fldCharType="begin"/>
            </w:r>
            <w:r>
              <w:rPr>
                <w:noProof/>
                <w:webHidden/>
              </w:rPr>
              <w:instrText xml:space="preserve"> PAGEREF _Toc523236404 \h </w:instrText>
            </w:r>
            <w:r>
              <w:rPr>
                <w:noProof/>
                <w:webHidden/>
              </w:rPr>
            </w:r>
            <w:r>
              <w:rPr>
                <w:noProof/>
                <w:webHidden/>
              </w:rPr>
              <w:fldChar w:fldCharType="separate"/>
            </w:r>
            <w:r w:rsidR="0097780D">
              <w:rPr>
                <w:noProof/>
                <w:webHidden/>
              </w:rPr>
              <w:t>9</w:t>
            </w:r>
            <w:r>
              <w:rPr>
                <w:noProof/>
                <w:webHidden/>
              </w:rPr>
              <w:fldChar w:fldCharType="end"/>
            </w:r>
          </w:hyperlink>
        </w:p>
        <w:p w:rsidR="00EC3CD1" w:rsidRDefault="00EC3CD1">
          <w:pPr>
            <w:pStyle w:val="TOC2"/>
            <w:tabs>
              <w:tab w:val="right" w:leader="dot" w:pos="9350"/>
            </w:tabs>
            <w:rPr>
              <w:rFonts w:eastAsiaTheme="minorEastAsia"/>
              <w:noProof/>
            </w:rPr>
          </w:pPr>
          <w:hyperlink w:anchor="_Toc523236405" w:history="1">
            <w:r w:rsidRPr="00C4051D">
              <w:rPr>
                <w:rStyle w:val="Hyperlink"/>
                <w:noProof/>
              </w:rPr>
              <w:t>HMS AQUATOX Models and Data Requirements</w:t>
            </w:r>
            <w:r>
              <w:rPr>
                <w:noProof/>
                <w:webHidden/>
              </w:rPr>
              <w:tab/>
            </w:r>
            <w:r>
              <w:rPr>
                <w:noProof/>
                <w:webHidden/>
              </w:rPr>
              <w:fldChar w:fldCharType="begin"/>
            </w:r>
            <w:r>
              <w:rPr>
                <w:noProof/>
                <w:webHidden/>
              </w:rPr>
              <w:instrText xml:space="preserve"> PAGEREF _Toc523236405 \h </w:instrText>
            </w:r>
            <w:r>
              <w:rPr>
                <w:noProof/>
                <w:webHidden/>
              </w:rPr>
            </w:r>
            <w:r>
              <w:rPr>
                <w:noProof/>
                <w:webHidden/>
              </w:rPr>
              <w:fldChar w:fldCharType="separate"/>
            </w:r>
            <w:r w:rsidR="0097780D">
              <w:rPr>
                <w:noProof/>
                <w:webHidden/>
              </w:rPr>
              <w:t>9</w:t>
            </w:r>
            <w:r>
              <w:rPr>
                <w:noProof/>
                <w:webHidden/>
              </w:rPr>
              <w:fldChar w:fldCharType="end"/>
            </w:r>
          </w:hyperlink>
        </w:p>
        <w:p w:rsidR="00EC3CD1" w:rsidRDefault="00EC3CD1">
          <w:pPr>
            <w:pStyle w:val="TOC2"/>
            <w:tabs>
              <w:tab w:val="right" w:leader="dot" w:pos="9350"/>
            </w:tabs>
            <w:rPr>
              <w:rFonts w:eastAsiaTheme="minorEastAsia"/>
              <w:noProof/>
            </w:rPr>
          </w:pPr>
          <w:hyperlink w:anchor="_Toc523236406" w:history="1">
            <w:r w:rsidRPr="00C4051D">
              <w:rPr>
                <w:rStyle w:val="Hyperlink"/>
                <w:noProof/>
              </w:rPr>
              <w:t>Enumerated Variables within JSON</w:t>
            </w:r>
            <w:r>
              <w:rPr>
                <w:noProof/>
                <w:webHidden/>
              </w:rPr>
              <w:tab/>
            </w:r>
            <w:r>
              <w:rPr>
                <w:noProof/>
                <w:webHidden/>
              </w:rPr>
              <w:fldChar w:fldCharType="begin"/>
            </w:r>
            <w:r>
              <w:rPr>
                <w:noProof/>
                <w:webHidden/>
              </w:rPr>
              <w:instrText xml:space="preserve"> PAGEREF _Toc523236406 \h </w:instrText>
            </w:r>
            <w:r>
              <w:rPr>
                <w:noProof/>
                <w:webHidden/>
              </w:rPr>
            </w:r>
            <w:r>
              <w:rPr>
                <w:noProof/>
                <w:webHidden/>
              </w:rPr>
              <w:fldChar w:fldCharType="separate"/>
            </w:r>
            <w:r w:rsidR="0097780D">
              <w:rPr>
                <w:noProof/>
                <w:webHidden/>
              </w:rPr>
              <w:t>11</w:t>
            </w:r>
            <w:r>
              <w:rPr>
                <w:noProof/>
                <w:webHidden/>
              </w:rPr>
              <w:fldChar w:fldCharType="end"/>
            </w:r>
          </w:hyperlink>
        </w:p>
        <w:p w:rsidR="00D76CEE" w:rsidRDefault="00D76CEE">
          <w:r>
            <w:rPr>
              <w:b/>
              <w:bCs/>
              <w:noProof/>
            </w:rPr>
            <w:fldChar w:fldCharType="end"/>
          </w:r>
        </w:p>
      </w:sdtContent>
    </w:sdt>
    <w:p w:rsidR="00D76CEE" w:rsidRPr="00D76CEE" w:rsidRDefault="00D76CEE" w:rsidP="00D76CEE"/>
    <w:p w:rsidR="00D76CEE" w:rsidRDefault="00D76CEE" w:rsidP="0002237E">
      <w:pPr>
        <w:pStyle w:val="Heading2"/>
      </w:pPr>
    </w:p>
    <w:p w:rsidR="00D76CEE" w:rsidRDefault="00D76CEE">
      <w:pPr>
        <w:rPr>
          <w:rFonts w:asciiTheme="majorHAnsi" w:eastAsiaTheme="majorEastAsia" w:hAnsiTheme="majorHAnsi" w:cstheme="majorBidi"/>
          <w:b/>
          <w:bCs/>
          <w:color w:val="4F81BD" w:themeColor="accent1"/>
          <w:sz w:val="26"/>
          <w:szCs w:val="26"/>
        </w:rPr>
      </w:pPr>
      <w:r>
        <w:br w:type="page"/>
      </w:r>
    </w:p>
    <w:p w:rsidR="0002237E" w:rsidRDefault="001917F0" w:rsidP="0002237E">
      <w:pPr>
        <w:pStyle w:val="Heading2"/>
      </w:pPr>
      <w:bookmarkStart w:id="2" w:name="_Toc523236398"/>
      <w:r>
        <w:lastRenderedPageBreak/>
        <w:t>Architecture</w:t>
      </w:r>
      <w:bookmarkEnd w:id="2"/>
    </w:p>
    <w:p w:rsidR="0002237E" w:rsidRPr="0002237E" w:rsidRDefault="00574447" w:rsidP="0002237E">
      <w:r w:rsidRPr="00574447">
        <w:rPr>
          <w:sz w:val="6"/>
        </w:rPr>
        <w:br/>
      </w:r>
      <w:r w:rsidR="00005082">
        <w:t>A</w:t>
      </w:r>
      <w:r w:rsidR="0002237E">
        <w:t xml:space="preserve">n AQUATOX segment </w:t>
      </w:r>
      <w:r w:rsidR="00005082">
        <w:t>is</w:t>
      </w:r>
      <w:r w:rsidR="0002237E">
        <w:t xml:space="preserve"> a customizable object including state variables and data structures </w:t>
      </w:r>
      <w:r w:rsidR="00F63685">
        <w:t>that describe</w:t>
      </w:r>
      <w:r w:rsidR="0002237E">
        <w:t xml:space="preserve"> the physical characteristics of the site.  This </w:t>
      </w:r>
      <w:r w:rsidR="00F63685">
        <w:t xml:space="preserve">design allows for the </w:t>
      </w:r>
      <w:r w:rsidR="0002237E">
        <w:t>creat</w:t>
      </w:r>
      <w:r w:rsidR="00F63685">
        <w:t>ion</w:t>
      </w:r>
      <w:r w:rsidR="0002237E">
        <w:t xml:space="preserve"> multiple AQUATOX Segments in a linked system.</w:t>
      </w:r>
    </w:p>
    <w:p w:rsidR="00091E95" w:rsidRDefault="0002237E" w:rsidP="00A405FB">
      <w:pPr>
        <w:keepNext/>
        <w:jc w:val="center"/>
      </w:pPr>
      <w:r w:rsidRPr="0002237E">
        <w:rPr>
          <w:noProof/>
        </w:rPr>
        <w:drawing>
          <wp:inline distT="0" distB="0" distL="0" distR="0" wp14:anchorId="1ABE1502" wp14:editId="0938BCC8">
            <wp:extent cx="3228975" cy="39498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0413" cy="3951650"/>
                    </a:xfrm>
                    <a:prstGeom prst="rect">
                      <a:avLst/>
                    </a:prstGeom>
                    <a:noFill/>
                    <a:ln>
                      <a:noFill/>
                    </a:ln>
                  </pic:spPr>
                </pic:pic>
              </a:graphicData>
            </a:graphic>
          </wp:inline>
        </w:drawing>
      </w:r>
    </w:p>
    <w:p w:rsidR="001917F0" w:rsidRDefault="00091E95" w:rsidP="00A405FB">
      <w:pPr>
        <w:pStyle w:val="Caption"/>
        <w:ind w:left="720" w:firstLine="720"/>
      </w:pPr>
      <w:r>
        <w:t xml:space="preserve">Figure </w:t>
      </w:r>
      <w:r>
        <w:fldChar w:fldCharType="begin"/>
      </w:r>
      <w:r>
        <w:instrText xml:space="preserve"> SEQ Figure \* ARABIC </w:instrText>
      </w:r>
      <w:r>
        <w:fldChar w:fldCharType="separate"/>
      </w:r>
      <w:r w:rsidR="001F407F">
        <w:rPr>
          <w:noProof/>
        </w:rPr>
        <w:t>1</w:t>
      </w:r>
      <w:r>
        <w:fldChar w:fldCharType="end"/>
      </w:r>
      <w:r>
        <w:t>. AQUATOX Segment Object Design</w:t>
      </w:r>
    </w:p>
    <w:p w:rsidR="00005082" w:rsidRDefault="00005082"/>
    <w:p w:rsidR="00005082" w:rsidRDefault="00005082" w:rsidP="00005082">
      <w:pPr>
        <w:pStyle w:val="Heading2"/>
      </w:pPr>
      <w:bookmarkStart w:id="3" w:name="_Toc523236399"/>
      <w:r>
        <w:t>Type</w:t>
      </w:r>
      <w:r w:rsidR="00B15632">
        <w:t xml:space="preserve"> Binding</w:t>
      </w:r>
      <w:r>
        <w:t>s</w:t>
      </w:r>
      <w:bookmarkEnd w:id="3"/>
      <w:r>
        <w:t xml:space="preserve"> </w:t>
      </w:r>
    </w:p>
    <w:p w:rsidR="00B46314" w:rsidRDefault="00574447" w:rsidP="00005082">
      <w:r w:rsidRPr="00574447">
        <w:rPr>
          <w:sz w:val="12"/>
        </w:rPr>
        <w:br/>
      </w:r>
      <w:r w:rsidR="00B46314">
        <w:t xml:space="preserve">Because state variables in the state-variable </w:t>
      </w:r>
      <w:r w:rsidR="00F63685">
        <w:t>array</w:t>
      </w:r>
      <w:r w:rsidR="00B46314">
        <w:t xml:space="preserve"> </w:t>
      </w:r>
      <w:r w:rsidR="00F57C45">
        <w:t>may have different types, the type of each state variable must be defined as the first line within its JSON text</w:t>
      </w:r>
      <w:r w:rsidR="00FA19E3">
        <w:t xml:space="preserve"> (</w:t>
      </w:r>
      <w:r w:rsidR="00E65A2B">
        <w:t xml:space="preserve">JSON.NET </w:t>
      </w:r>
      <w:r w:rsidR="00FA19E3" w:rsidRPr="00FA19E3">
        <w:t>TypeNameHandling</w:t>
      </w:r>
      <w:r w:rsidR="00FA19E3">
        <w:t xml:space="preserve"> = Objects)</w:t>
      </w:r>
      <w:r w:rsidR="00F57C45">
        <w:t xml:space="preserve">.  </w:t>
      </w:r>
      <w:r w:rsidR="00FA19E3">
        <w:t>Some examples of the JSON syntax follow:</w:t>
      </w:r>
    </w:p>
    <w:p w:rsidR="00005082" w:rsidRDefault="00005082" w:rsidP="00005082">
      <w:pPr>
        <w:ind w:left="720"/>
      </w:pPr>
      <w:r w:rsidRPr="00005082">
        <w:t>"$type": "AQUATOXSegment"</w:t>
      </w:r>
      <w:r w:rsidR="00F57C45">
        <w:t xml:space="preserve"> </w:t>
      </w:r>
      <w:r w:rsidR="00900CEA">
        <w:br/>
      </w:r>
      <w:r w:rsidRPr="00005082">
        <w:t>"$type": "TNH4Obj"</w:t>
      </w:r>
    </w:p>
    <w:p w:rsidR="00900CEA" w:rsidRDefault="00900CEA">
      <w:r>
        <w:t>Note also that valid JSON files are included in the DOCS folder of each of the AQUATOX sub-models included in HMS.</w:t>
      </w:r>
      <w:r w:rsidR="00F63685">
        <w:t xml:space="preserve">  These files can be customized or used as reference for valid HMS inputs.</w:t>
      </w:r>
      <w:r>
        <w:br w:type="page"/>
      </w:r>
    </w:p>
    <w:p w:rsidR="00FA19E3" w:rsidRDefault="00FA19E3" w:rsidP="00900CEA">
      <w:r>
        <w:lastRenderedPageBreak/>
        <w:t xml:space="preserve">The full list of valid JSON types </w:t>
      </w:r>
      <w:r w:rsidR="00E65A2B">
        <w:t xml:space="preserve">and their context </w:t>
      </w:r>
      <w:r>
        <w:t>follow</w:t>
      </w:r>
      <w:r w:rsidR="00E65A2B">
        <w:t>s</w:t>
      </w:r>
      <w:r>
        <w:t>:</w:t>
      </w:r>
    </w:p>
    <w:tbl>
      <w:tblPr>
        <w:tblW w:w="5000" w:type="pct"/>
        <w:tblLayout w:type="fixed"/>
        <w:tblLook w:val="04A0" w:firstRow="1" w:lastRow="0" w:firstColumn="1" w:lastColumn="0" w:noHBand="0" w:noVBand="1"/>
      </w:tblPr>
      <w:tblGrid>
        <w:gridCol w:w="2898"/>
        <w:gridCol w:w="2520"/>
        <w:gridCol w:w="2649"/>
        <w:gridCol w:w="1509"/>
      </w:tblGrid>
      <w:tr w:rsidR="00900CEA" w:rsidRPr="00900CEA" w:rsidTr="0016338C">
        <w:trPr>
          <w:cantSplit/>
          <w:trHeight w:val="300"/>
          <w:tblHeader/>
        </w:trPr>
        <w:tc>
          <w:tcPr>
            <w:tcW w:w="1513" w:type="pct"/>
            <w:tcBorders>
              <w:top w:val="single" w:sz="4" w:space="0" w:color="auto"/>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b/>
                <w:bCs/>
                <w:color w:val="000000"/>
                <w:sz w:val="24"/>
              </w:rPr>
            </w:pPr>
            <w:r w:rsidRPr="00900CEA">
              <w:rPr>
                <w:rFonts w:ascii="Calibri" w:eastAsia="Times New Roman" w:hAnsi="Calibri" w:cs="Times New Roman"/>
                <w:b/>
                <w:bCs/>
                <w:color w:val="000000"/>
              </w:rPr>
              <w:t>Valid Type Name</w:t>
            </w:r>
          </w:p>
        </w:tc>
        <w:tc>
          <w:tcPr>
            <w:tcW w:w="1316" w:type="pct"/>
            <w:tcBorders>
              <w:top w:val="single" w:sz="4" w:space="0" w:color="auto"/>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b/>
                <w:bCs/>
                <w:color w:val="000000"/>
              </w:rPr>
            </w:pPr>
            <w:r w:rsidRPr="00900CEA">
              <w:rPr>
                <w:rFonts w:ascii="Calibri" w:eastAsia="Times New Roman" w:hAnsi="Calibri" w:cs="Times New Roman"/>
                <w:b/>
                <w:bCs/>
                <w:color w:val="000000"/>
              </w:rPr>
              <w:t>Object Location</w:t>
            </w:r>
          </w:p>
        </w:tc>
        <w:tc>
          <w:tcPr>
            <w:tcW w:w="1383" w:type="pct"/>
            <w:tcBorders>
              <w:top w:val="single" w:sz="4" w:space="0" w:color="auto"/>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b/>
                <w:bCs/>
                <w:color w:val="000000"/>
              </w:rPr>
            </w:pPr>
            <w:r w:rsidRPr="00900CEA">
              <w:rPr>
                <w:rFonts w:ascii="Calibri" w:eastAsia="Times New Roman" w:hAnsi="Calibri" w:cs="Times New Roman"/>
                <w:b/>
                <w:bCs/>
                <w:color w:val="000000"/>
              </w:rPr>
              <w:t>Description</w:t>
            </w:r>
          </w:p>
        </w:tc>
        <w:tc>
          <w:tcPr>
            <w:tcW w:w="788" w:type="pct"/>
            <w:tcBorders>
              <w:top w:val="single" w:sz="4" w:space="0" w:color="auto"/>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b/>
                <w:bCs/>
                <w:color w:val="000000"/>
              </w:rPr>
            </w:pPr>
            <w:r w:rsidRPr="00900CEA">
              <w:rPr>
                <w:rFonts w:ascii="Calibri" w:eastAsia="Times New Roman" w:hAnsi="Calibri" w:cs="Times New Roman"/>
                <w:b/>
                <w:bCs/>
                <w:color w:val="000000"/>
              </w:rPr>
              <w:t>Required for</w:t>
            </w:r>
          </w:p>
        </w:tc>
      </w:tr>
      <w:tr w:rsidR="00900CEA" w:rsidRPr="00900CEA" w:rsidTr="0016338C">
        <w:trPr>
          <w:cantSplit/>
          <w:trHeight w:val="435"/>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AQUATOXSegment</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Main JSON object</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Primary AQUATOX object</w:t>
            </w:r>
          </w:p>
        </w:tc>
        <w:tc>
          <w:tcPr>
            <w:tcW w:w="788" w:type="pct"/>
            <w:tcBorders>
              <w:top w:val="nil"/>
              <w:left w:val="nil"/>
              <w:bottom w:val="nil"/>
              <w:right w:val="single" w:sz="4" w:space="0" w:color="auto"/>
            </w:tcBorders>
            <w:shd w:val="clear" w:color="000000" w:fill="FFFFCC"/>
            <w:noWrap/>
            <w:vAlign w:val="center"/>
            <w:hideMark/>
          </w:tcPr>
          <w:p w:rsidR="00900CEA" w:rsidRPr="00900CEA" w:rsidRDefault="00900CEA" w:rsidP="00900CEA">
            <w:pPr>
              <w:spacing w:after="0" w:line="240" w:lineRule="auto"/>
              <w:rPr>
                <w:rFonts w:ascii="Calibri" w:eastAsia="Times New Roman" w:hAnsi="Calibri" w:cs="Times New Roman"/>
                <w:b/>
                <w:bCs/>
                <w:color w:val="000000"/>
                <w:sz w:val="20"/>
              </w:rPr>
            </w:pPr>
            <w:r w:rsidRPr="00900CEA">
              <w:rPr>
                <w:rFonts w:ascii="Calibri" w:eastAsia="Times New Roman" w:hAnsi="Calibri" w:cs="Times New Roman"/>
                <w:b/>
                <w:bCs/>
                <w:color w:val="000000"/>
                <w:sz w:val="20"/>
              </w:rPr>
              <w:t>All Simulations</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ChemicalRecord</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ChemRec variable in AQUATOXSegment</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Required parameters for chemical model</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Chemcal Simulations</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Diagenesis_Rec</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Diagenesis_Params variable in AQUATOXSegment</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Required parameters for diagenesis model</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TParameter</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Each parameter within the Diagenesis_Rec</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value, symbol, name, comment, units</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rsidTr="0016338C">
        <w:trPr>
          <w:cantSplit/>
          <w:trHeight w:val="21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TAQTSite</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Location variable in AQUATOXSegment</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Required site parameters and data</w:t>
            </w:r>
          </w:p>
        </w:tc>
        <w:tc>
          <w:tcPr>
            <w:tcW w:w="788" w:type="pct"/>
            <w:tcBorders>
              <w:top w:val="nil"/>
              <w:left w:val="nil"/>
              <w:bottom w:val="nil"/>
              <w:right w:val="single" w:sz="4" w:space="0" w:color="auto"/>
            </w:tcBorders>
            <w:shd w:val="clear" w:color="000000" w:fill="FFFFCC"/>
            <w:noWrap/>
            <w:vAlign w:val="center"/>
            <w:hideMark/>
          </w:tcPr>
          <w:p w:rsidR="00900CEA" w:rsidRPr="00900CEA" w:rsidRDefault="00900CEA" w:rsidP="00900CEA">
            <w:pPr>
              <w:spacing w:after="0" w:line="240" w:lineRule="auto"/>
              <w:rPr>
                <w:rFonts w:ascii="Calibri" w:eastAsia="Times New Roman" w:hAnsi="Calibri" w:cs="Times New Roman"/>
                <w:b/>
                <w:bCs/>
                <w:color w:val="000000"/>
                <w:sz w:val="20"/>
              </w:rPr>
            </w:pPr>
            <w:r w:rsidRPr="00900CEA">
              <w:rPr>
                <w:rFonts w:ascii="Calibri" w:eastAsia="Times New Roman" w:hAnsi="Calibri" w:cs="Times New Roman"/>
                <w:b/>
                <w:bCs/>
                <w:color w:val="000000"/>
                <w:sz w:val="20"/>
              </w:rPr>
              <w:t>All Simulations</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SiteRecord</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Locale variable in TAQTSite</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Required site parameters</w:t>
            </w:r>
          </w:p>
        </w:tc>
        <w:tc>
          <w:tcPr>
            <w:tcW w:w="788" w:type="pct"/>
            <w:tcBorders>
              <w:top w:val="nil"/>
              <w:left w:val="nil"/>
              <w:bottom w:val="nil"/>
              <w:right w:val="single" w:sz="4" w:space="0" w:color="auto"/>
            </w:tcBorders>
            <w:shd w:val="clear" w:color="000000" w:fill="FFFFCC"/>
            <w:noWrap/>
            <w:vAlign w:val="center"/>
            <w:hideMark/>
          </w:tcPr>
          <w:p w:rsidR="00900CEA" w:rsidRPr="00900CEA" w:rsidRDefault="00900CEA" w:rsidP="00900CEA">
            <w:pPr>
              <w:spacing w:after="0" w:line="240" w:lineRule="auto"/>
              <w:rPr>
                <w:rFonts w:ascii="Calibri" w:eastAsia="Times New Roman" w:hAnsi="Calibri" w:cs="Times New Roman"/>
                <w:b/>
                <w:bCs/>
                <w:color w:val="000000"/>
                <w:sz w:val="20"/>
              </w:rPr>
            </w:pPr>
            <w:r w:rsidRPr="00900CEA">
              <w:rPr>
                <w:rFonts w:ascii="Calibri" w:eastAsia="Times New Roman" w:hAnsi="Calibri" w:cs="Times New Roman"/>
                <w:b/>
                <w:bCs/>
                <w:color w:val="000000"/>
                <w:sz w:val="20"/>
              </w:rPr>
              <w:t>All Simulations</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ReminRecord</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Remin variable in AQUATOXSegment</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Parameters about organic matter</w:t>
            </w:r>
          </w:p>
        </w:tc>
        <w:tc>
          <w:tcPr>
            <w:tcW w:w="788" w:type="pct"/>
            <w:tcBorders>
              <w:top w:val="nil"/>
              <w:left w:val="nil"/>
              <w:bottom w:val="nil"/>
              <w:right w:val="single" w:sz="4" w:space="0" w:color="auto"/>
            </w:tcBorders>
            <w:shd w:val="clear" w:color="auto" w:fill="auto"/>
            <w:noWrap/>
            <w:vAlign w:val="center"/>
            <w:hideMark/>
          </w:tcPr>
          <w:p w:rsidR="00900CEA" w:rsidRPr="00900CEA" w:rsidRDefault="00826E3E" w:rsidP="00900CEA">
            <w:pPr>
              <w:spacing w:after="0" w:line="240" w:lineRule="auto"/>
              <w:rPr>
                <w:rFonts w:ascii="Calibri" w:eastAsia="Times New Roman" w:hAnsi="Calibri" w:cs="Times New Roman"/>
                <w:b/>
                <w:bCs/>
                <w:color w:val="000000"/>
                <w:sz w:val="20"/>
              </w:rPr>
            </w:pPr>
            <w:r w:rsidRPr="00826E3E">
              <w:rPr>
                <w:rFonts w:ascii="Calibri" w:eastAsia="Times New Roman" w:hAnsi="Calibri" w:cs="Times New Roman"/>
                <w:b/>
                <w:bCs/>
                <w:color w:val="000000"/>
                <w:sz w:val="20"/>
              </w:rPr>
              <w:t>Simulations with Nutrients, Chemicals, Organic Matter, Diagenesis</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Setup_Record</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EC3CD1">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P</w:t>
            </w:r>
            <w:r w:rsidR="00EC3CD1">
              <w:rPr>
                <w:rFonts w:ascii="Calibri" w:eastAsia="Times New Roman" w:hAnsi="Calibri" w:cs="Times New Roman"/>
                <w:color w:val="000000"/>
                <w:sz w:val="20"/>
              </w:rPr>
              <w:t>S</w:t>
            </w:r>
            <w:r w:rsidRPr="00900CEA">
              <w:rPr>
                <w:rFonts w:ascii="Calibri" w:eastAsia="Times New Roman" w:hAnsi="Calibri" w:cs="Times New Roman"/>
                <w:color w:val="000000"/>
                <w:sz w:val="20"/>
              </w:rPr>
              <w:t>etup variable in AQUATOXSegment</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Simulation setup such as start and end date</w:t>
            </w:r>
          </w:p>
        </w:tc>
        <w:tc>
          <w:tcPr>
            <w:tcW w:w="788" w:type="pct"/>
            <w:tcBorders>
              <w:top w:val="nil"/>
              <w:left w:val="nil"/>
              <w:bottom w:val="nil"/>
              <w:right w:val="single" w:sz="4" w:space="0" w:color="auto"/>
            </w:tcBorders>
            <w:shd w:val="clear" w:color="000000" w:fill="FFFFCC"/>
            <w:noWrap/>
            <w:vAlign w:val="center"/>
            <w:hideMark/>
          </w:tcPr>
          <w:p w:rsidR="00900CEA" w:rsidRPr="00900CEA" w:rsidRDefault="00900CEA" w:rsidP="00900CEA">
            <w:pPr>
              <w:spacing w:after="0" w:line="240" w:lineRule="auto"/>
              <w:rPr>
                <w:rFonts w:ascii="Calibri" w:eastAsia="Times New Roman" w:hAnsi="Calibri" w:cs="Times New Roman"/>
                <w:b/>
                <w:bCs/>
                <w:color w:val="000000"/>
                <w:sz w:val="20"/>
              </w:rPr>
            </w:pPr>
            <w:r w:rsidRPr="00900CEA">
              <w:rPr>
                <w:rFonts w:ascii="Calibri" w:eastAsia="Times New Roman" w:hAnsi="Calibri" w:cs="Times New Roman"/>
                <w:b/>
                <w:bCs/>
                <w:color w:val="000000"/>
                <w:sz w:val="20"/>
              </w:rPr>
              <w:t>All Simulations</w:t>
            </w:r>
          </w:p>
        </w:tc>
      </w:tr>
      <w:tr w:rsidR="00900CEA" w:rsidRPr="00900CEA" w:rsidTr="0016338C">
        <w:trPr>
          <w:cantSplit/>
          <w:trHeight w:val="21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b/>
                <w:bCs/>
                <w:color w:val="000000"/>
                <w:sz w:val="20"/>
              </w:rPr>
            </w:pPr>
            <w:r w:rsidRPr="00900CEA">
              <w:rPr>
                <w:rFonts w:ascii="Calibri" w:eastAsia="Times New Roman" w:hAnsi="Calibri" w:cs="Times New Roman"/>
                <w:b/>
                <w:bCs/>
                <w:color w:val="000000"/>
                <w:sz w:val="20"/>
              </w:rPr>
              <w:t> </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DetritalInputRecordType</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InputRecord variable in TDissRefrDetr State Variable</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Input data for "suspended and dissolved" organic matter</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Organic Matter Model</w:t>
            </w:r>
          </w:p>
        </w:tc>
      </w:tr>
      <w:tr w:rsidR="00900CEA" w:rsidRPr="00900CEA" w:rsidTr="0016338C">
        <w:trPr>
          <w:cantSplit/>
          <w:trHeight w:val="21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TStateVariable</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Within "SV" array in AQUATOXSegment</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Base object for all state variables</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AQUATOXTSOutput</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State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AQUATOX time-series output</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n/a; Holds Output</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LoadingsRecord</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LoadsRec variable in TStateVariable</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External Loadings and time series for state variable</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All State Variables</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TLoadings</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Loadings or Alt_Loadings[] in LoadingsRecord</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Constant loading or time series external loading</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All State Variables</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SortedList</w:t>
            </w:r>
            <w:r w:rsidR="00574447">
              <w:rPr>
                <w:rFonts w:ascii="Calibri" w:eastAsia="Times New Roman" w:hAnsi="Calibri" w:cs="Times New Roman"/>
                <w:color w:val="000000"/>
                <w:sz w:val="24"/>
              </w:rPr>
              <w:br/>
              <w:t xml:space="preserve">           </w:t>
            </w:r>
            <w:r w:rsidRPr="00900CEA">
              <w:rPr>
                <w:rFonts w:ascii="Calibri" w:eastAsia="Times New Roman" w:hAnsi="Calibri" w:cs="Times New Roman"/>
                <w:color w:val="000000"/>
                <w:sz w:val="24"/>
              </w:rPr>
              <w:t>&lt;DateTime, double&gt;</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list variable in Tloadings</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Time-series loading input, classic AQUATOX format</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SV with time-series input</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TimeSeriesInput</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"ITSI" state variable in Loadings Record</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Time-series loading input, data from HMS models</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SV with HMS inputs</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TimeSeriesOutput</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"InputTimeSeries" in TimeSeriesInput</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Time-series loading input, data from HMS models</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SV with HMS inputs</w:t>
            </w:r>
          </w:p>
        </w:tc>
      </w:tr>
      <w:tr w:rsidR="00900CEA" w:rsidRPr="00900CEA" w:rsidTr="0016338C">
        <w:trPr>
          <w:cantSplit/>
          <w:trHeight w:val="21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TCO2Obj</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Carbon Dioxide in mg/L</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Nutrients, pH, Chemicals</w:t>
            </w:r>
          </w:p>
        </w:tc>
      </w:tr>
      <w:tr w:rsidR="00900CEA" w:rsidRPr="00900CEA" w:rsidTr="0016338C">
        <w:trPr>
          <w:cantSplit/>
          <w:trHeight w:val="345"/>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TCOD</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Chemical oxygen demand in g O2 equiv. / 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optional</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TDissLabDetr</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Dissolved Labile Detritus in mg/L</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Organic Matter Model</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TDissRefrDetr</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Dissolved Refractory Detritus in mg/L</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Organic Matter Model</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lastRenderedPageBreak/>
              <w:t xml:space="preserve">    TLight</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Light input at water surface in Ly/d</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Chemicals / Plants</w:t>
            </w:r>
          </w:p>
        </w:tc>
      </w:tr>
      <w:tr w:rsidR="00900CEA" w:rsidRPr="00900CEA" w:rsidTr="0016338C">
        <w:trPr>
          <w:cantSplit/>
          <w:trHeight w:val="345"/>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TMethane</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Methane in g O2 equiv. / 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rsidTr="0016338C">
        <w:trPr>
          <w:cantSplit/>
          <w:trHeight w:val="345"/>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TNH4_Sediment</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Ammonia in sediment in g N / 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TNH4Obj</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Nutrate in the water column in mg N/L</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Nutrient Simulations</w:t>
            </w:r>
          </w:p>
        </w:tc>
      </w:tr>
      <w:tr w:rsidR="00900CEA" w:rsidRPr="00900CEA" w:rsidTr="0016338C">
        <w:trPr>
          <w:cantSplit/>
          <w:trHeight w:val="345"/>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TNO3_Sediment</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Nitrate in sediment in g N / 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TNO3Obj</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Nutrate in the water column in mg N/L</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Nutrient Simulations</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TO2Obj</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Oxygen in the water column in mg/L</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Nutrients, Chemicals</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TpHObj</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pH of the water column</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Nutrients, Chemicals</w:t>
            </w:r>
          </w:p>
        </w:tc>
      </w:tr>
      <w:tr w:rsidR="00900CEA" w:rsidRPr="00900CEA" w:rsidTr="0016338C">
        <w:trPr>
          <w:cantSplit/>
          <w:trHeight w:val="345"/>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TPO4_Sediment</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Ammonia in sediment in g N / 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TPO4Obj</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Total Soluble P in water in mg/L</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Nutrient Simulations</w:t>
            </w:r>
          </w:p>
        </w:tc>
      </w:tr>
      <w:tr w:rsidR="00900CEA" w:rsidRPr="00900CEA" w:rsidTr="0016338C">
        <w:trPr>
          <w:cantSplit/>
          <w:trHeight w:val="345"/>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TPOC_Sediment</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Particulate Carbon in sediment in g C / 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rsidTr="0016338C">
        <w:trPr>
          <w:cantSplit/>
          <w:trHeight w:val="345"/>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TPON_Sediment</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Particulate Nitrogen in sediment in g N / 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rsidTr="0016338C">
        <w:trPr>
          <w:cantSplit/>
          <w:trHeight w:val="345"/>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TPOP_Sediment</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Particulate Phosphate in sediment in g P / 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TSalinity</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Water column salinity in PPT</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i/>
                <w:iCs/>
                <w:color w:val="000000"/>
                <w:sz w:val="20"/>
              </w:rPr>
              <w:t>Optional</w:t>
            </w:r>
            <w:r w:rsidRPr="00900CEA">
              <w:rPr>
                <w:rFonts w:ascii="Calibri" w:eastAsia="Times New Roman" w:hAnsi="Calibri" w:cs="Times New Roman"/>
                <w:color w:val="000000"/>
                <w:sz w:val="20"/>
              </w:rPr>
              <w:t>, Chem., Nutr.</w:t>
            </w:r>
          </w:p>
        </w:tc>
      </w:tr>
      <w:tr w:rsidR="00900CEA" w:rsidRPr="00900CEA" w:rsidTr="0016338C">
        <w:trPr>
          <w:cantSplit/>
          <w:trHeight w:val="345"/>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TSedLabileDetr</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Sedimented Labile Detritus in g/m</w:t>
            </w:r>
            <w:r w:rsidRPr="00900CEA">
              <w:rPr>
                <w:rFonts w:ascii="Calibri" w:eastAsia="Times New Roman" w:hAnsi="Calibri" w:cs="Times New Roman"/>
                <w:color w:val="000000"/>
                <w:sz w:val="20"/>
                <w:vertAlign w:val="superscript"/>
              </w:rPr>
              <w:t>2</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Organic Matter</w:t>
            </w:r>
          </w:p>
        </w:tc>
      </w:tr>
      <w:tr w:rsidR="00900CEA" w:rsidRPr="00900CEA" w:rsidTr="0016338C">
        <w:trPr>
          <w:cantSplit/>
          <w:trHeight w:val="345"/>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TSedRefrDetr</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Sedimented Refractory Detritus in g/m</w:t>
            </w:r>
            <w:r w:rsidRPr="00900CEA">
              <w:rPr>
                <w:rFonts w:ascii="Calibri" w:eastAsia="Times New Roman" w:hAnsi="Calibri" w:cs="Times New Roman"/>
                <w:color w:val="000000"/>
                <w:sz w:val="20"/>
                <w:vertAlign w:val="superscript"/>
              </w:rPr>
              <w:t>2</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Organic Matter</w:t>
            </w:r>
          </w:p>
        </w:tc>
      </w:tr>
      <w:tr w:rsidR="00900CEA" w:rsidRPr="00900CEA" w:rsidTr="0016338C">
        <w:trPr>
          <w:cantSplit/>
          <w:trHeight w:val="345"/>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TSilica_Sediment</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Silica concentration in sediment in g/m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rsidTr="0016338C">
        <w:trPr>
          <w:cantSplit/>
          <w:trHeight w:val="345"/>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TSulfide_Sediment</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Sulfide in sediment in g O2 equiv. / m</w:t>
            </w:r>
            <w:r w:rsidRPr="00900CEA">
              <w:rPr>
                <w:rFonts w:ascii="Calibri" w:eastAsia="Times New Roman" w:hAnsi="Calibri" w:cs="Times New Roman"/>
                <w:color w:val="000000"/>
                <w:sz w:val="20"/>
                <w:vertAlign w:val="superscript"/>
              </w:rPr>
              <w:t>3</w:t>
            </w:r>
            <w:r w:rsidRPr="00900CEA">
              <w:rPr>
                <w:rFonts w:ascii="Calibri" w:eastAsia="Times New Roman" w:hAnsi="Calibri" w:cs="Times New Roman"/>
                <w:color w:val="000000"/>
                <w:sz w:val="20"/>
              </w:rPr>
              <w:t xml:space="preserve"> d</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Diagenesis Simulations</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TSuspLabDetr</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Suspended Particulate Labile Detritus in mg/L</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Organic Matter</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TSuspRefrDetr</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Suspended Particulate Refractory Detritus in mg/L</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Organic Matter</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TTemperature</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Temperature of water column in deg. C</w:t>
            </w:r>
          </w:p>
        </w:tc>
        <w:tc>
          <w:tcPr>
            <w:tcW w:w="788" w:type="pct"/>
            <w:tcBorders>
              <w:top w:val="nil"/>
              <w:left w:val="nil"/>
              <w:bottom w:val="nil"/>
              <w:right w:val="single" w:sz="4" w:space="0" w:color="auto"/>
            </w:tcBorders>
            <w:shd w:val="clear" w:color="000000" w:fill="FFFFCC"/>
            <w:noWrap/>
            <w:vAlign w:val="center"/>
            <w:hideMark/>
          </w:tcPr>
          <w:p w:rsidR="00900CEA" w:rsidRPr="00900CEA" w:rsidRDefault="00900CEA" w:rsidP="00900CEA">
            <w:pPr>
              <w:spacing w:after="0" w:line="240" w:lineRule="auto"/>
              <w:rPr>
                <w:rFonts w:ascii="Calibri" w:eastAsia="Times New Roman" w:hAnsi="Calibri" w:cs="Times New Roman"/>
                <w:b/>
                <w:bCs/>
                <w:color w:val="000000"/>
                <w:sz w:val="20"/>
              </w:rPr>
            </w:pPr>
            <w:r w:rsidRPr="00900CEA">
              <w:rPr>
                <w:rFonts w:ascii="Calibri" w:eastAsia="Times New Roman" w:hAnsi="Calibri" w:cs="Times New Roman"/>
                <w:b/>
                <w:bCs/>
                <w:color w:val="000000"/>
                <w:sz w:val="20"/>
              </w:rPr>
              <w:t>All Simulations</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TToxics</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Freely-dissolved chemical in water in ug/L</w:t>
            </w:r>
          </w:p>
        </w:tc>
        <w:tc>
          <w:tcPr>
            <w:tcW w:w="788"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Chemical Simulat8ions</w:t>
            </w:r>
          </w:p>
        </w:tc>
      </w:tr>
      <w:tr w:rsidR="00900CEA" w:rsidRPr="00900CEA" w:rsidTr="0016338C">
        <w:trPr>
          <w:cantSplit/>
          <w:trHeight w:val="300"/>
        </w:trPr>
        <w:tc>
          <w:tcPr>
            <w:tcW w:w="1513" w:type="pct"/>
            <w:tcBorders>
              <w:top w:val="nil"/>
              <w:left w:val="single" w:sz="4" w:space="0" w:color="auto"/>
              <w:bottom w:val="nil"/>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TVolume</w:t>
            </w:r>
          </w:p>
        </w:tc>
        <w:tc>
          <w:tcPr>
            <w:tcW w:w="1316" w:type="pct"/>
            <w:tcBorders>
              <w:top w:val="nil"/>
              <w:left w:val="single" w:sz="4" w:space="0" w:color="auto"/>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nil"/>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Water volume of site in cubic meters</w:t>
            </w:r>
          </w:p>
        </w:tc>
        <w:tc>
          <w:tcPr>
            <w:tcW w:w="788" w:type="pct"/>
            <w:tcBorders>
              <w:top w:val="nil"/>
              <w:left w:val="nil"/>
              <w:bottom w:val="nil"/>
              <w:right w:val="single" w:sz="4" w:space="0" w:color="auto"/>
            </w:tcBorders>
            <w:shd w:val="clear" w:color="000000" w:fill="FFFFCC"/>
            <w:noWrap/>
            <w:vAlign w:val="center"/>
            <w:hideMark/>
          </w:tcPr>
          <w:p w:rsidR="00900CEA" w:rsidRPr="00900CEA" w:rsidRDefault="00900CEA" w:rsidP="00900CEA">
            <w:pPr>
              <w:spacing w:after="0" w:line="240" w:lineRule="auto"/>
              <w:rPr>
                <w:rFonts w:ascii="Calibri" w:eastAsia="Times New Roman" w:hAnsi="Calibri" w:cs="Times New Roman"/>
                <w:b/>
                <w:bCs/>
                <w:color w:val="000000"/>
                <w:sz w:val="20"/>
              </w:rPr>
            </w:pPr>
            <w:r w:rsidRPr="00900CEA">
              <w:rPr>
                <w:rFonts w:ascii="Calibri" w:eastAsia="Times New Roman" w:hAnsi="Calibri" w:cs="Times New Roman"/>
                <w:b/>
                <w:bCs/>
                <w:color w:val="000000"/>
                <w:sz w:val="20"/>
              </w:rPr>
              <w:t>All Simulations</w:t>
            </w:r>
          </w:p>
        </w:tc>
      </w:tr>
      <w:tr w:rsidR="00900CEA" w:rsidRPr="00900CEA" w:rsidTr="0016338C">
        <w:trPr>
          <w:cantSplit/>
          <w:trHeight w:val="300"/>
        </w:trPr>
        <w:tc>
          <w:tcPr>
            <w:tcW w:w="1513" w:type="pct"/>
            <w:tcBorders>
              <w:top w:val="nil"/>
              <w:left w:val="single" w:sz="4" w:space="0" w:color="auto"/>
              <w:bottom w:val="single" w:sz="4" w:space="0" w:color="auto"/>
              <w:right w:val="nil"/>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4"/>
              </w:rPr>
            </w:pPr>
            <w:r w:rsidRPr="00900CEA">
              <w:rPr>
                <w:rFonts w:ascii="Calibri" w:eastAsia="Times New Roman" w:hAnsi="Calibri" w:cs="Times New Roman"/>
                <w:color w:val="000000"/>
                <w:sz w:val="24"/>
              </w:rPr>
              <w:t xml:space="preserve">    TWindLoading</w:t>
            </w:r>
          </w:p>
        </w:tc>
        <w:tc>
          <w:tcPr>
            <w:tcW w:w="1316" w:type="pct"/>
            <w:tcBorders>
              <w:top w:val="nil"/>
              <w:left w:val="single" w:sz="4" w:space="0" w:color="auto"/>
              <w:bottom w:val="single" w:sz="4" w:space="0" w:color="auto"/>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Pr>
                <w:rFonts w:ascii="Calibri" w:eastAsia="Times New Roman" w:hAnsi="Calibri" w:cs="Times New Roman"/>
                <w:color w:val="000000"/>
                <w:sz w:val="20"/>
              </w:rPr>
              <w:t>State</w:t>
            </w:r>
            <w:r w:rsidRPr="00900CEA">
              <w:rPr>
                <w:rFonts w:ascii="Calibri" w:eastAsia="Times New Roman" w:hAnsi="Calibri" w:cs="Times New Roman"/>
                <w:color w:val="000000"/>
                <w:sz w:val="20"/>
              </w:rPr>
              <w:t xml:space="preserve"> Variable in "SV" array</w:t>
            </w:r>
          </w:p>
        </w:tc>
        <w:tc>
          <w:tcPr>
            <w:tcW w:w="1383" w:type="pct"/>
            <w:tcBorders>
              <w:top w:val="nil"/>
              <w:left w:val="nil"/>
              <w:bottom w:val="single" w:sz="4" w:space="0" w:color="auto"/>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 xml:space="preserve">Wind loading of site in m/s at a height of 10 m </w:t>
            </w:r>
          </w:p>
        </w:tc>
        <w:tc>
          <w:tcPr>
            <w:tcW w:w="788" w:type="pct"/>
            <w:tcBorders>
              <w:top w:val="nil"/>
              <w:left w:val="nil"/>
              <w:bottom w:val="single" w:sz="4" w:space="0" w:color="auto"/>
              <w:right w:val="single" w:sz="4" w:space="0" w:color="auto"/>
            </w:tcBorders>
            <w:shd w:val="clear" w:color="auto" w:fill="auto"/>
            <w:noWrap/>
            <w:vAlign w:val="center"/>
            <w:hideMark/>
          </w:tcPr>
          <w:p w:rsidR="00900CEA" w:rsidRPr="00900CEA" w:rsidRDefault="00900CEA" w:rsidP="00900CEA">
            <w:pPr>
              <w:spacing w:after="0" w:line="240" w:lineRule="auto"/>
              <w:rPr>
                <w:rFonts w:ascii="Calibri" w:eastAsia="Times New Roman" w:hAnsi="Calibri" w:cs="Times New Roman"/>
                <w:color w:val="000000"/>
                <w:sz w:val="20"/>
              </w:rPr>
            </w:pPr>
            <w:r w:rsidRPr="00900CEA">
              <w:rPr>
                <w:rFonts w:ascii="Calibri" w:eastAsia="Times New Roman" w:hAnsi="Calibri" w:cs="Times New Roman"/>
                <w:color w:val="000000"/>
                <w:sz w:val="20"/>
              </w:rPr>
              <w:t>Chemicals / Plants</w:t>
            </w:r>
          </w:p>
        </w:tc>
      </w:tr>
    </w:tbl>
    <w:p w:rsidR="00900CEA" w:rsidRPr="00005082" w:rsidRDefault="00900CEA" w:rsidP="00900CEA"/>
    <w:p w:rsidR="00005082" w:rsidRDefault="00005082">
      <w:r>
        <w:br w:type="page"/>
      </w:r>
    </w:p>
    <w:p w:rsidR="00005082" w:rsidRDefault="00005082" w:rsidP="00005082">
      <w:pPr>
        <w:pStyle w:val="Heading2"/>
      </w:pPr>
      <w:bookmarkStart w:id="4" w:name="_Toc523236400"/>
      <w:r>
        <w:lastRenderedPageBreak/>
        <w:t xml:space="preserve">AQUATOXSegment </w:t>
      </w:r>
      <w:r w:rsidR="00642EA9">
        <w:t>JSON</w:t>
      </w:r>
      <w:bookmarkEnd w:id="4"/>
      <w:r w:rsidR="007C74A4">
        <w:br/>
      </w:r>
    </w:p>
    <w:p w:rsidR="007C74A4" w:rsidRDefault="007C74A4" w:rsidP="00900CEA">
      <w:r>
        <w:t>The AQUATOXSegment JSON includes several mandatory variables.</w:t>
      </w:r>
    </w:p>
    <w:p w:rsidR="007C74A4" w:rsidRDefault="00D76CEE" w:rsidP="00900CEA">
      <w:r>
        <w:t>“</w:t>
      </w:r>
      <w:r w:rsidR="007C74A4">
        <w:t>Location</w:t>
      </w:r>
      <w:r>
        <w:t>”</w:t>
      </w:r>
      <w:r w:rsidR="007C74A4">
        <w:t xml:space="preserve"> includes information about the site such as “SiteType</w:t>
      </w:r>
      <w:r>
        <w:t>.”</w:t>
      </w:r>
      <w:r w:rsidR="00E468AF">
        <w:t xml:space="preserve">  (See “Enumerated Values” below)</w:t>
      </w:r>
      <w:r>
        <w:t xml:space="preserve">  </w:t>
      </w:r>
      <w:r w:rsidR="00E468AF">
        <w:t>Also w</w:t>
      </w:r>
      <w:r>
        <w:t>ithin “Location” is “</w:t>
      </w:r>
      <w:r w:rsidR="007C74A4">
        <w:t>Locale</w:t>
      </w:r>
      <w:r>
        <w:t>,”</w:t>
      </w:r>
      <w:r w:rsidR="007C74A4">
        <w:t xml:space="preserve"> a “struct” of type “SiteRecord” full of parameters describing the site.  Details about these parameters may be found in the “</w:t>
      </w:r>
      <w:r w:rsidR="007C74A4" w:rsidRPr="007C74A4">
        <w:t>Site_Record_Specs</w:t>
      </w:r>
      <w:r w:rsidR="007C74A4">
        <w:t>” document.</w:t>
      </w:r>
    </w:p>
    <w:p w:rsidR="00900CEA" w:rsidRDefault="007C74A4" w:rsidP="00900CEA">
      <w:r>
        <w:t xml:space="preserve">State variables to be solved with the differential equations solver and </w:t>
      </w:r>
      <w:r w:rsidR="00D76CEE">
        <w:t xml:space="preserve">any required </w:t>
      </w:r>
      <w:r>
        <w:t>driving variables (input variables and time series) are found in an array named “SV</w:t>
      </w:r>
      <w:r w:rsidR="00D76CEE">
        <w:t>.</w:t>
      </w:r>
      <w:r>
        <w:t>”</w:t>
      </w:r>
      <w:r w:rsidR="00D76CEE">
        <w:t xml:space="preserve">  More on the State Variable </w:t>
      </w:r>
      <w:r w:rsidR="00F63685">
        <w:t xml:space="preserve">JSON </w:t>
      </w:r>
      <w:r w:rsidR="00D76CEE">
        <w:t>structure may be found below.</w:t>
      </w:r>
    </w:p>
    <w:p w:rsidR="001B0975" w:rsidRDefault="001B0975" w:rsidP="001B0975">
      <w:r>
        <w:t>PSetup contains information about simulation start time, end time, time step, and other integration details.  Details about these parameters may be found in the “Setup_Record</w:t>
      </w:r>
      <w:r w:rsidRPr="007C74A4">
        <w:t>_Specs</w:t>
      </w:r>
      <w:r>
        <w:t>” document.</w:t>
      </w:r>
    </w:p>
    <w:p w:rsidR="00D76CEE" w:rsidRDefault="001B0975" w:rsidP="00900CEA">
      <w:r>
        <w:t>A diagenesis model must include the Diagenesis_Params object, and whether to calculate the diagenesis top layer using steady-state assumptions or not.</w:t>
      </w:r>
      <w:r w:rsidR="00D76CEE">
        <w:t xml:space="preserve">  There are also optional loadings time series for benthic biomass and animal defecation to the sediment bed</w:t>
      </w:r>
      <w:r w:rsidR="00E37C2F">
        <w:t xml:space="preserve"> (BenthicBiomass_Link, and AnimalDef_Link).  These loadings </w:t>
      </w:r>
      <w:r w:rsidR="00D76CEE">
        <w:t>may be utilized if a diagenesis model is being run, animals are not directly being simulated, and a user has model estimates or observed data to estimate the impact of animals on the sediment bed.</w:t>
      </w:r>
    </w:p>
    <w:p w:rsidR="007C74A4" w:rsidRPr="00900CEA" w:rsidRDefault="001B0975" w:rsidP="00900CEA">
      <w:r>
        <w:t xml:space="preserve">Finally, </w:t>
      </w:r>
      <w:r w:rsidR="00D76CEE">
        <w:t xml:space="preserve">The AQUATOXSegment </w:t>
      </w:r>
      <w:r>
        <w:t xml:space="preserve">object includes optional parameters and time-series regarding site evaporation rate, mean depth </w:t>
      </w:r>
      <w:r w:rsidR="00E37C2F">
        <w:t>over time</w:t>
      </w:r>
      <w:r>
        <w:t>, the extent of shading</w:t>
      </w:r>
      <w:r w:rsidR="00E37C2F">
        <w:t xml:space="preserve"> over time</w:t>
      </w:r>
      <w:r>
        <w:t>, and whether to calculate velocity</w:t>
      </w:r>
      <w:r w:rsidR="00D76CEE">
        <w:t xml:space="preserve"> or use an alternative input time series (UseConstEvap, DynEvap, UseConstZMean, DynZMean, Shade, CalcVelocity, DynVelocity).</w:t>
      </w:r>
    </w:p>
    <w:p w:rsidR="00005082" w:rsidRDefault="00005082" w:rsidP="00005082">
      <w:pPr>
        <w:pStyle w:val="Heading2"/>
      </w:pPr>
      <w:bookmarkStart w:id="5" w:name="_Toc523236401"/>
      <w:r>
        <w:t>“SV” Array</w:t>
      </w:r>
      <w:bookmarkEnd w:id="5"/>
      <w:r>
        <w:t xml:space="preserve"> </w:t>
      </w:r>
    </w:p>
    <w:p w:rsidR="00E468AF" w:rsidRPr="00E468AF" w:rsidRDefault="00E468AF" w:rsidP="00E468AF">
      <w:r w:rsidRPr="00F1690E">
        <w:rPr>
          <w:sz w:val="14"/>
        </w:rPr>
        <w:br/>
      </w:r>
      <w:r>
        <w:t xml:space="preserve">The SV array contains an array of state variables required for model simulation.  See “Data Requirements” below for details of which state variables are required for which type of simulation.  Each AQUATOX model includes a “CheckDataRequirements” function that returns an error message if required </w:t>
      </w:r>
      <w:r w:rsidR="00F1690E">
        <w:t>state variables</w:t>
      </w:r>
      <w:r>
        <w:t xml:space="preserve"> are not present.</w:t>
      </w:r>
    </w:p>
    <w:p w:rsidR="00005082" w:rsidRDefault="00005082" w:rsidP="00005082">
      <w:pPr>
        <w:pStyle w:val="Heading2"/>
      </w:pPr>
      <w:bookmarkStart w:id="6" w:name="_Toc523236402"/>
      <w:r>
        <w:t>TStateVariable Object</w:t>
      </w:r>
      <w:bookmarkEnd w:id="6"/>
    </w:p>
    <w:p w:rsidR="00E468AF" w:rsidRDefault="00E468AF" w:rsidP="001B6923">
      <w:r w:rsidRPr="00F1690E">
        <w:rPr>
          <w:sz w:val="16"/>
        </w:rPr>
        <w:br/>
      </w:r>
      <w:r>
        <w:t>The TStateVariable object serves as the ancestor for all specialized state variable</w:t>
      </w:r>
      <w:r w:rsidR="00F1690E">
        <w:t>-</w:t>
      </w:r>
      <w:r>
        <w:t>objects</w:t>
      </w:r>
      <w:r w:rsidR="00EC3CD1">
        <w:t xml:space="preserve"> (chemicals, nutrients, animals, plants, etc.)</w:t>
      </w:r>
      <w:r>
        <w:t xml:space="preserve">.  The </w:t>
      </w:r>
      <w:r w:rsidR="00EC30F3">
        <w:t xml:space="preserve">important </w:t>
      </w:r>
      <w:r>
        <w:t xml:space="preserve">variables within this </w:t>
      </w:r>
      <w:r w:rsidR="00EC30F3">
        <w:t xml:space="preserve">JSON </w:t>
      </w:r>
      <w:r>
        <w:t>object are as follows:</w:t>
      </w:r>
    </w:p>
    <w:p w:rsidR="00915EC1" w:rsidRDefault="00915EC1" w:rsidP="00915EC1">
      <w:pPr>
        <w:pStyle w:val="ListParagraph"/>
        <w:numPr>
          <w:ilvl w:val="0"/>
          <w:numId w:val="7"/>
        </w:numPr>
      </w:pPr>
      <w:r>
        <w:t xml:space="preserve">double </w:t>
      </w:r>
      <w:r w:rsidRPr="00FA11C7">
        <w:rPr>
          <w:b/>
        </w:rPr>
        <w:t>InitialCond</w:t>
      </w:r>
      <w:r>
        <w:t>: The concentration of the variable at the start of the simulation</w:t>
      </w:r>
    </w:p>
    <w:p w:rsidR="00915EC1" w:rsidRDefault="001B6923" w:rsidP="00915EC1">
      <w:pPr>
        <w:pStyle w:val="ListParagraph"/>
        <w:numPr>
          <w:ilvl w:val="0"/>
          <w:numId w:val="7"/>
        </w:numPr>
      </w:pPr>
      <w:r>
        <w:t>AllVariables</w:t>
      </w:r>
      <w:r w:rsidR="00915EC1">
        <w:t xml:space="preserve"> (enumerated)</w:t>
      </w:r>
      <w:r w:rsidR="00EC30F3">
        <w:t xml:space="preserve"> </w:t>
      </w:r>
      <w:r w:rsidR="00EC30F3" w:rsidRPr="00FA11C7">
        <w:rPr>
          <w:b/>
        </w:rPr>
        <w:t>NState</w:t>
      </w:r>
      <w:r w:rsidR="00EC30F3">
        <w:t xml:space="preserve">:  Each state variable must be assigned to its proper type </w:t>
      </w:r>
      <w:r w:rsidR="00915EC1">
        <w:t>(See “Enumerated Values” below)</w:t>
      </w:r>
      <w:r w:rsidR="00EC30F3">
        <w:t>.  This variable is used to locate the state variable when it is needed by other state variables (e.g. the nitrification rate affects both Ammonia and Nitrate</w:t>
      </w:r>
      <w:r w:rsidR="00915EC1">
        <w:t>, and the temperature state variable affects the nitrification rate.</w:t>
      </w:r>
      <w:r w:rsidR="00EC30F3">
        <w:t xml:space="preserve">) </w:t>
      </w:r>
      <w:r w:rsidR="00F1690E">
        <w:t xml:space="preserve"> For animals and plants (TBA), this variable is used to set up the feeding-preferences matrix.</w:t>
      </w:r>
    </w:p>
    <w:p w:rsidR="00EC30F3" w:rsidRDefault="00EC30F3" w:rsidP="00915EC1">
      <w:pPr>
        <w:pStyle w:val="ListParagraph"/>
        <w:numPr>
          <w:ilvl w:val="0"/>
          <w:numId w:val="7"/>
        </w:numPr>
      </w:pPr>
      <w:r>
        <w:lastRenderedPageBreak/>
        <w:t xml:space="preserve">T_SVType </w:t>
      </w:r>
      <w:r w:rsidR="00915EC1">
        <w:t xml:space="preserve">(enumerated) </w:t>
      </w:r>
      <w:r w:rsidRPr="00FA11C7">
        <w:rPr>
          <w:b/>
        </w:rPr>
        <w:t>SVType</w:t>
      </w:r>
      <w:r>
        <w:t>: For most variables this is set to StV or “State Variable” but for organic chemicals, or chemicals sorbed to animals, plants, or organisms</w:t>
      </w:r>
      <w:r w:rsidR="00F1690E">
        <w:t xml:space="preserve"> (TBA)</w:t>
      </w:r>
      <w:r>
        <w:t xml:space="preserve">, this is set to </w:t>
      </w:r>
      <w:r w:rsidR="00915EC1">
        <w:t>OrgTox1..OrgTox20.  (See “Enumerated Values” below)</w:t>
      </w:r>
    </w:p>
    <w:p w:rsidR="00915EC1" w:rsidRDefault="00915EC1" w:rsidP="00915EC1">
      <w:pPr>
        <w:pStyle w:val="ListParagraph"/>
        <w:numPr>
          <w:ilvl w:val="0"/>
          <w:numId w:val="7"/>
        </w:numPr>
      </w:pPr>
      <w:r w:rsidRPr="00915EC1">
        <w:t xml:space="preserve">T_SVLayer </w:t>
      </w:r>
      <w:r>
        <w:t xml:space="preserve">(enumerated) </w:t>
      </w:r>
      <w:r w:rsidRPr="00FA11C7">
        <w:rPr>
          <w:b/>
        </w:rPr>
        <w:t>Layer</w:t>
      </w:r>
      <w:r>
        <w:t>: The location of the state variable.  For most variables this is set to WaterCol but sediment diagenesis variables may be located in SedLayer1 or SedLayer2.  (See “Enumerated Values” below)</w:t>
      </w:r>
    </w:p>
    <w:p w:rsidR="00915EC1" w:rsidRDefault="00915EC1" w:rsidP="00915EC1">
      <w:pPr>
        <w:pStyle w:val="ListParagraph"/>
        <w:numPr>
          <w:ilvl w:val="0"/>
          <w:numId w:val="7"/>
        </w:numPr>
      </w:pPr>
      <w:r>
        <w:t xml:space="preserve">string </w:t>
      </w:r>
      <w:r w:rsidRPr="00FA11C7">
        <w:rPr>
          <w:b/>
        </w:rPr>
        <w:t>PName</w:t>
      </w:r>
      <w:r>
        <w:t>: holds</w:t>
      </w:r>
      <w:r w:rsidR="00F1690E">
        <w:t xml:space="preserve"> the</w:t>
      </w:r>
      <w:r>
        <w:t xml:space="preserve"> text name of the variable for use in output of results.</w:t>
      </w:r>
    </w:p>
    <w:p w:rsidR="00915EC1" w:rsidRDefault="00915EC1" w:rsidP="00915EC1">
      <w:pPr>
        <w:pStyle w:val="ListParagraph"/>
        <w:numPr>
          <w:ilvl w:val="0"/>
          <w:numId w:val="7"/>
        </w:numPr>
      </w:pPr>
      <w:r>
        <w:t>AQUATOXTSOutput</w:t>
      </w:r>
      <w:r w:rsidR="00FA11C7">
        <w:t xml:space="preserve"> </w:t>
      </w:r>
      <w:r w:rsidR="00FA11C7" w:rsidRPr="00FA11C7">
        <w:rPr>
          <w:b/>
        </w:rPr>
        <w:t>output</w:t>
      </w:r>
      <w:r>
        <w:t>: holds the results of the simulation in an HMS ITimeSeriesOutput data structure.</w:t>
      </w:r>
    </w:p>
    <w:p w:rsidR="00915EC1" w:rsidRDefault="00915EC1" w:rsidP="00915EC1">
      <w:pPr>
        <w:pStyle w:val="ListParagraph"/>
        <w:numPr>
          <w:ilvl w:val="0"/>
          <w:numId w:val="7"/>
        </w:numPr>
      </w:pPr>
      <w:r>
        <w:t xml:space="preserve">LoadingsRecord </w:t>
      </w:r>
      <w:r w:rsidRPr="00FA11C7">
        <w:rPr>
          <w:b/>
        </w:rPr>
        <w:t>LoadsRec</w:t>
      </w:r>
      <w:r>
        <w:t>:  As described below</w:t>
      </w:r>
      <w:r w:rsidR="00F1690E">
        <w:t>,</w:t>
      </w:r>
      <w:r>
        <w:t xml:space="preserve"> this object holds boundary-condition loadings of the state variable either in inflow water or from point-source, direct precipitation, or nonpoint-sources.  These loadings can be constant or time series can be input.</w:t>
      </w:r>
    </w:p>
    <w:p w:rsidR="00915EC1" w:rsidRDefault="00E37C2F" w:rsidP="00915EC1">
      <w:pPr>
        <w:pStyle w:val="ListParagraph"/>
        <w:numPr>
          <w:ilvl w:val="0"/>
          <w:numId w:val="7"/>
        </w:numPr>
      </w:pPr>
      <w:r>
        <w:t>b</w:t>
      </w:r>
      <w:r w:rsidR="00915EC1">
        <w:t xml:space="preserve">ool </w:t>
      </w:r>
      <w:r w:rsidR="00915EC1" w:rsidRPr="00FA11C7">
        <w:rPr>
          <w:b/>
        </w:rPr>
        <w:t>UseLoadsRecAsDriver</w:t>
      </w:r>
      <w:r w:rsidR="00915EC1">
        <w:t xml:space="preserve">:  Any state variable can be used as a driving variable based on the values in its LoadingsRecord by setting this </w:t>
      </w:r>
      <w:r w:rsidR="00F1690E">
        <w:t>b</w:t>
      </w:r>
      <w:r w:rsidR="00915EC1">
        <w:t>oolean to true.  The state variable will no longer be integrated but will be set to the value in the provided time series.  This provides for flexibility in terms of linkage to other models.</w:t>
      </w:r>
    </w:p>
    <w:p w:rsidR="001B6923" w:rsidRDefault="00FA11C7" w:rsidP="001B6923">
      <w:r>
        <w:t>Some derived state variables have additional required parameters.</w:t>
      </w:r>
      <w:r w:rsidR="00F25250">
        <w:t xml:space="preserve">  The most important parameters are listed here:</w:t>
      </w:r>
    </w:p>
    <w:tbl>
      <w:tblPr>
        <w:tblW w:w="5000" w:type="pct"/>
        <w:tblLook w:val="04A0" w:firstRow="1" w:lastRow="0" w:firstColumn="1" w:lastColumn="0" w:noHBand="0" w:noVBand="1"/>
      </w:tblPr>
      <w:tblGrid>
        <w:gridCol w:w="2158"/>
        <w:gridCol w:w="1986"/>
        <w:gridCol w:w="1943"/>
        <w:gridCol w:w="3489"/>
      </w:tblGrid>
      <w:tr w:rsidR="0016338C" w:rsidRPr="0016338C" w:rsidTr="0016338C">
        <w:trPr>
          <w:cantSplit/>
          <w:trHeight w:val="465"/>
          <w:tblHeader/>
        </w:trPr>
        <w:tc>
          <w:tcPr>
            <w:tcW w:w="81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b/>
                <w:bCs/>
                <w:color w:val="000000"/>
                <w:sz w:val="24"/>
                <w:szCs w:val="24"/>
              </w:rPr>
            </w:pPr>
            <w:r w:rsidRPr="0016338C">
              <w:rPr>
                <w:rFonts w:ascii="Calibri" w:eastAsia="Times New Roman" w:hAnsi="Calibri" w:cs="Times New Roman"/>
                <w:b/>
                <w:bCs/>
                <w:color w:val="000000"/>
                <w:sz w:val="24"/>
                <w:szCs w:val="24"/>
              </w:rPr>
              <w:t>State Variable Type</w:t>
            </w:r>
          </w:p>
        </w:tc>
        <w:tc>
          <w:tcPr>
            <w:tcW w:w="921" w:type="pct"/>
            <w:tcBorders>
              <w:top w:val="single" w:sz="4" w:space="0" w:color="auto"/>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b/>
                <w:bCs/>
                <w:color w:val="000000"/>
                <w:sz w:val="24"/>
                <w:szCs w:val="24"/>
              </w:rPr>
            </w:pPr>
            <w:r w:rsidRPr="0016338C">
              <w:rPr>
                <w:rFonts w:ascii="Calibri" w:eastAsia="Times New Roman" w:hAnsi="Calibri" w:cs="Times New Roman"/>
                <w:b/>
                <w:bCs/>
                <w:color w:val="000000"/>
                <w:sz w:val="24"/>
                <w:szCs w:val="24"/>
              </w:rPr>
              <w:t>Variable Name</w:t>
            </w:r>
          </w:p>
        </w:tc>
        <w:tc>
          <w:tcPr>
            <w:tcW w:w="789" w:type="pct"/>
            <w:tcBorders>
              <w:top w:val="single" w:sz="4" w:space="0" w:color="auto"/>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b/>
                <w:bCs/>
                <w:color w:val="000000"/>
                <w:sz w:val="24"/>
                <w:szCs w:val="24"/>
              </w:rPr>
            </w:pPr>
            <w:r w:rsidRPr="0016338C">
              <w:rPr>
                <w:rFonts w:ascii="Calibri" w:eastAsia="Times New Roman" w:hAnsi="Calibri" w:cs="Times New Roman"/>
                <w:b/>
                <w:bCs/>
                <w:color w:val="000000"/>
                <w:sz w:val="24"/>
                <w:szCs w:val="24"/>
              </w:rPr>
              <w:t>Variable Type</w:t>
            </w:r>
          </w:p>
        </w:tc>
        <w:tc>
          <w:tcPr>
            <w:tcW w:w="2477" w:type="pct"/>
            <w:tcBorders>
              <w:top w:val="single" w:sz="4" w:space="0" w:color="auto"/>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jc w:val="center"/>
              <w:rPr>
                <w:rFonts w:ascii="Calibri" w:eastAsia="Times New Roman" w:hAnsi="Calibri" w:cs="Times New Roman"/>
                <w:b/>
                <w:bCs/>
                <w:color w:val="000000"/>
                <w:sz w:val="24"/>
                <w:szCs w:val="24"/>
              </w:rPr>
            </w:pPr>
            <w:r w:rsidRPr="0016338C">
              <w:rPr>
                <w:rFonts w:ascii="Calibri" w:eastAsia="Times New Roman" w:hAnsi="Calibri" w:cs="Times New Roman"/>
                <w:b/>
                <w:bCs/>
                <w:color w:val="000000"/>
                <w:sz w:val="24"/>
                <w:szCs w:val="24"/>
              </w:rPr>
              <w:t>Description</w:t>
            </w:r>
          </w:p>
        </w:tc>
      </w:tr>
      <w:tr w:rsidR="0016338C" w:rsidRPr="0016338C" w:rsidTr="0016338C">
        <w:trPr>
          <w:cantSplit/>
          <w:trHeight w:val="1335"/>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TVolume</w:t>
            </w:r>
          </w:p>
        </w:tc>
        <w:tc>
          <w:tcPr>
            <w:tcW w:w="921"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Calc_Method</w:t>
            </w:r>
          </w:p>
        </w:tc>
        <w:tc>
          <w:tcPr>
            <w:tcW w:w="789"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VolumeMethType (enum)</w:t>
            </w:r>
          </w:p>
        </w:tc>
        <w:tc>
          <w:tcPr>
            <w:tcW w:w="2477"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Whether to use Manning's coefficient and river flows to estimate segment volume, to keep volume constant, to calculate volume "dynamically" using inflows, outflows, and evaporation, or to set segment volume to a known value or time series of values</w:t>
            </w:r>
          </w:p>
        </w:tc>
      </w:tr>
      <w:tr w:rsidR="0016338C" w:rsidRPr="0016338C" w:rsidTr="0016338C">
        <w:trPr>
          <w:cantSplit/>
          <w:trHeight w:val="345"/>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TpHObj</w:t>
            </w:r>
          </w:p>
        </w:tc>
        <w:tc>
          <w:tcPr>
            <w:tcW w:w="921"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Alkalinity</w:t>
            </w:r>
          </w:p>
        </w:tc>
        <w:tc>
          <w:tcPr>
            <w:tcW w:w="789"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double</w:t>
            </w:r>
          </w:p>
        </w:tc>
        <w:tc>
          <w:tcPr>
            <w:tcW w:w="2477"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If pH is estimated, ueq CACO3/L</w:t>
            </w:r>
          </w:p>
        </w:tc>
      </w:tr>
      <w:tr w:rsidR="0016338C" w:rsidRPr="0016338C" w:rsidTr="0016338C">
        <w:trPr>
          <w:cantSplit/>
          <w:trHeight w:val="375"/>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TLight</w:t>
            </w:r>
          </w:p>
        </w:tc>
        <w:tc>
          <w:tcPr>
            <w:tcW w:w="921"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Calculate</w:t>
            </w:r>
            <w:r>
              <w:rPr>
                <w:rFonts w:ascii="Calibri" w:eastAsia="Times New Roman" w:hAnsi="Calibri" w:cs="Times New Roman"/>
                <w:color w:val="000000"/>
              </w:rPr>
              <w:br/>
            </w:r>
            <w:r w:rsidRPr="0016338C">
              <w:rPr>
                <w:rFonts w:ascii="Calibri" w:eastAsia="Times New Roman" w:hAnsi="Calibri" w:cs="Times New Roman"/>
                <w:color w:val="000000"/>
              </w:rPr>
              <w:t>Photoperiod</w:t>
            </w:r>
          </w:p>
        </w:tc>
        <w:tc>
          <w:tcPr>
            <w:tcW w:w="789"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bool</w:t>
            </w:r>
          </w:p>
        </w:tc>
        <w:tc>
          <w:tcPr>
            <w:tcW w:w="2477"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calculate photo period from latitude</w:t>
            </w:r>
          </w:p>
        </w:tc>
      </w:tr>
      <w:tr w:rsidR="0016338C" w:rsidRPr="0016338C" w:rsidTr="0016338C">
        <w:trPr>
          <w:cantSplit/>
          <w:trHeight w:val="345"/>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TLight</w:t>
            </w:r>
          </w:p>
        </w:tc>
        <w:tc>
          <w:tcPr>
            <w:tcW w:w="921"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UserPhotoPeriod</w:t>
            </w:r>
          </w:p>
        </w:tc>
        <w:tc>
          <w:tcPr>
            <w:tcW w:w="789"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double</w:t>
            </w:r>
          </w:p>
        </w:tc>
        <w:tc>
          <w:tcPr>
            <w:tcW w:w="2477"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hours of light in day</w:t>
            </w:r>
          </w:p>
        </w:tc>
      </w:tr>
      <w:tr w:rsidR="0016338C" w:rsidRPr="0016338C" w:rsidTr="0016338C">
        <w:trPr>
          <w:cantSplit/>
          <w:trHeight w:val="33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TWindLoading</w:t>
            </w:r>
          </w:p>
        </w:tc>
        <w:tc>
          <w:tcPr>
            <w:tcW w:w="921"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MeanValue</w:t>
            </w:r>
          </w:p>
        </w:tc>
        <w:tc>
          <w:tcPr>
            <w:tcW w:w="789"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double</w:t>
            </w:r>
          </w:p>
        </w:tc>
        <w:tc>
          <w:tcPr>
            <w:tcW w:w="2477"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mean wind if fourier series is used</w:t>
            </w:r>
          </w:p>
        </w:tc>
      </w:tr>
      <w:tr w:rsidR="0016338C" w:rsidRPr="0016338C" w:rsidTr="0016338C">
        <w:trPr>
          <w:cantSplit/>
          <w:trHeight w:val="375"/>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TToxics</w:t>
            </w:r>
          </w:p>
        </w:tc>
        <w:tc>
          <w:tcPr>
            <w:tcW w:w="921"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ChemRec</w:t>
            </w:r>
          </w:p>
        </w:tc>
        <w:tc>
          <w:tcPr>
            <w:tcW w:w="789"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ChemicalRecord</w:t>
            </w:r>
          </w:p>
        </w:tc>
        <w:tc>
          <w:tcPr>
            <w:tcW w:w="2477"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Relevant Chemical Parameters see ChemicalRecord_Specs.docx</w:t>
            </w:r>
          </w:p>
        </w:tc>
      </w:tr>
      <w:tr w:rsidR="0016338C" w:rsidRPr="0016338C" w:rsidTr="0016338C">
        <w:trPr>
          <w:cantSplit/>
          <w:trHeight w:val="60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TToxics</w:t>
            </w:r>
          </w:p>
        </w:tc>
        <w:tc>
          <w:tcPr>
            <w:tcW w:w="921"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JSON _Link loadings</w:t>
            </w:r>
          </w:p>
        </w:tc>
        <w:tc>
          <w:tcPr>
            <w:tcW w:w="789"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TLoadings</w:t>
            </w:r>
          </w:p>
        </w:tc>
        <w:tc>
          <w:tcPr>
            <w:tcW w:w="2477"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Six optional linkage timeseries if chemicals sorbed to plants, animals, or OM not modeled</w:t>
            </w:r>
          </w:p>
        </w:tc>
      </w:tr>
      <w:tr w:rsidR="0016338C" w:rsidRPr="0016338C" w:rsidTr="0016338C">
        <w:trPr>
          <w:cantSplit/>
          <w:trHeight w:val="900"/>
        </w:trPr>
        <w:tc>
          <w:tcPr>
            <w:tcW w:w="813" w:type="pct"/>
            <w:tcBorders>
              <w:top w:val="nil"/>
              <w:left w:val="single" w:sz="4" w:space="0" w:color="auto"/>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TPON_Sediment, TPOC_Sediment, TPOP_Sediment</w:t>
            </w:r>
          </w:p>
        </w:tc>
        <w:tc>
          <w:tcPr>
            <w:tcW w:w="921"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JSON _Link loadings</w:t>
            </w:r>
          </w:p>
        </w:tc>
        <w:tc>
          <w:tcPr>
            <w:tcW w:w="789"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TLoadings</w:t>
            </w:r>
          </w:p>
        </w:tc>
        <w:tc>
          <w:tcPr>
            <w:tcW w:w="2477"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Two optional linkage time series for each state variable to estimate deposition and predation if plants, animals, or OM not modeled</w:t>
            </w:r>
          </w:p>
        </w:tc>
      </w:tr>
      <w:tr w:rsidR="0016338C" w:rsidRPr="0016338C" w:rsidTr="0016338C">
        <w:trPr>
          <w:cantSplit/>
          <w:trHeight w:val="90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lastRenderedPageBreak/>
              <w:t>TPO4Obj</w:t>
            </w:r>
          </w:p>
        </w:tc>
        <w:tc>
          <w:tcPr>
            <w:tcW w:w="921"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JSON_Link loadings</w:t>
            </w:r>
          </w:p>
        </w:tc>
        <w:tc>
          <w:tcPr>
            <w:tcW w:w="789"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TLoadings</w:t>
            </w:r>
          </w:p>
        </w:tc>
        <w:tc>
          <w:tcPr>
            <w:tcW w:w="2477"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Five optional linkage time series if animals, plants, and/or organic matter are not included to represent rates of assimilation, remineralization, and calcite precipitation</w:t>
            </w:r>
          </w:p>
        </w:tc>
      </w:tr>
      <w:tr w:rsidR="0016338C" w:rsidRPr="0016338C" w:rsidTr="0016338C">
        <w:trPr>
          <w:cantSplit/>
          <w:trHeight w:val="72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TPO4Obj</w:t>
            </w:r>
          </w:p>
        </w:tc>
        <w:tc>
          <w:tcPr>
            <w:tcW w:w="921"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TP_IC, TP_Inflow, TP_PS, TP_NPS</w:t>
            </w:r>
          </w:p>
        </w:tc>
        <w:tc>
          <w:tcPr>
            <w:tcW w:w="789"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bool</w:t>
            </w:r>
          </w:p>
        </w:tc>
        <w:tc>
          <w:tcPr>
            <w:tcW w:w="2477"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Are PO4 inputs in the form of TP or Total Soluble P.  If the former, TSP is estimated based on inflow P loadings in OM and algae</w:t>
            </w:r>
          </w:p>
        </w:tc>
      </w:tr>
      <w:tr w:rsidR="0016338C" w:rsidRPr="0016338C" w:rsidTr="0016338C">
        <w:trPr>
          <w:cantSplit/>
          <w:trHeight w:val="90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TNH4Obj</w:t>
            </w:r>
          </w:p>
        </w:tc>
        <w:tc>
          <w:tcPr>
            <w:tcW w:w="921"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JSON_Link loadings</w:t>
            </w:r>
          </w:p>
        </w:tc>
        <w:tc>
          <w:tcPr>
            <w:tcW w:w="789"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TLoadings</w:t>
            </w:r>
          </w:p>
        </w:tc>
        <w:tc>
          <w:tcPr>
            <w:tcW w:w="2477"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Four optional linkage time series if animals, plants, and/or organic matter are not included to represent rates of assimilation and remineralization</w:t>
            </w:r>
          </w:p>
        </w:tc>
      </w:tr>
      <w:tr w:rsidR="0016338C" w:rsidRPr="0016338C" w:rsidTr="0016338C">
        <w:trPr>
          <w:cantSplit/>
          <w:trHeight w:val="60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TNO3Obj</w:t>
            </w:r>
          </w:p>
        </w:tc>
        <w:tc>
          <w:tcPr>
            <w:tcW w:w="921"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JSON_Link loading</w:t>
            </w:r>
          </w:p>
        </w:tc>
        <w:tc>
          <w:tcPr>
            <w:tcW w:w="789"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TLoadings</w:t>
            </w:r>
          </w:p>
        </w:tc>
        <w:tc>
          <w:tcPr>
            <w:tcW w:w="2477"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One optional linkage time series if plants are not explicitly modeled to represent rates of assimilation</w:t>
            </w:r>
          </w:p>
        </w:tc>
      </w:tr>
      <w:tr w:rsidR="0016338C" w:rsidRPr="0016338C" w:rsidTr="0016338C">
        <w:trPr>
          <w:cantSplit/>
          <w:trHeight w:val="60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TNO3Obj</w:t>
            </w:r>
          </w:p>
        </w:tc>
        <w:tc>
          <w:tcPr>
            <w:tcW w:w="921"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TN_IC, TN_Inflow, TNP_PS, TP_NPS</w:t>
            </w:r>
          </w:p>
        </w:tc>
        <w:tc>
          <w:tcPr>
            <w:tcW w:w="789"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bool</w:t>
            </w:r>
          </w:p>
        </w:tc>
        <w:tc>
          <w:tcPr>
            <w:tcW w:w="2477"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Are NO3 inputs in the form of TN?  If so, NO3 is estimated based on inflow N loadings in OM and algae</w:t>
            </w:r>
          </w:p>
        </w:tc>
      </w:tr>
      <w:tr w:rsidR="0016338C" w:rsidRPr="0016338C" w:rsidTr="0016338C">
        <w:trPr>
          <w:cantSplit/>
          <w:trHeight w:val="90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TCO2Obj</w:t>
            </w:r>
          </w:p>
        </w:tc>
        <w:tc>
          <w:tcPr>
            <w:tcW w:w="921"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JSON_Link loadings</w:t>
            </w:r>
          </w:p>
        </w:tc>
        <w:tc>
          <w:tcPr>
            <w:tcW w:w="789"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TLoadings</w:t>
            </w:r>
          </w:p>
        </w:tc>
        <w:tc>
          <w:tcPr>
            <w:tcW w:w="2477"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Three optional linkage time series if animals, plants, and/or organic matter are not included to represent rates of assimilation, respiration, and decomposition.</w:t>
            </w:r>
          </w:p>
        </w:tc>
      </w:tr>
      <w:tr w:rsidR="0016338C" w:rsidRPr="0016338C" w:rsidTr="0016338C">
        <w:trPr>
          <w:cantSplit/>
          <w:trHeight w:val="93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TCO2Obj</w:t>
            </w:r>
          </w:p>
        </w:tc>
        <w:tc>
          <w:tcPr>
            <w:tcW w:w="921"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ImportCO2Equil and CO2Equil</w:t>
            </w:r>
          </w:p>
        </w:tc>
        <w:tc>
          <w:tcPr>
            <w:tcW w:w="789"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bool and TLoadings</w:t>
            </w:r>
          </w:p>
        </w:tc>
        <w:tc>
          <w:tcPr>
            <w:tcW w:w="2477"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The equilibrium concentration of CO2 in water can be user input using these variables or estimated using AQUATOX equations (213) to (215)</w:t>
            </w:r>
          </w:p>
        </w:tc>
      </w:tr>
      <w:tr w:rsidR="0016338C" w:rsidRPr="0016338C" w:rsidTr="0016338C">
        <w:trPr>
          <w:cantSplit/>
          <w:trHeight w:val="900"/>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TO2Obj</w:t>
            </w:r>
          </w:p>
        </w:tc>
        <w:tc>
          <w:tcPr>
            <w:tcW w:w="921"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NoLoadOrWash</w:t>
            </w:r>
          </w:p>
        </w:tc>
        <w:tc>
          <w:tcPr>
            <w:tcW w:w="789"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bool</w:t>
            </w:r>
          </w:p>
        </w:tc>
        <w:tc>
          <w:tcPr>
            <w:tcW w:w="2477"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An experimental variable that allows the user to calculate the oxygen concentration in the water if inflow loadings and washout were not considered.</w:t>
            </w:r>
          </w:p>
        </w:tc>
      </w:tr>
      <w:tr w:rsidR="0016338C" w:rsidRPr="0016338C" w:rsidTr="0016338C">
        <w:trPr>
          <w:cantSplit/>
          <w:trHeight w:val="1035"/>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TO2Obj</w:t>
            </w:r>
          </w:p>
        </w:tc>
        <w:tc>
          <w:tcPr>
            <w:tcW w:w="921"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JSON_Link loadings</w:t>
            </w:r>
          </w:p>
        </w:tc>
        <w:tc>
          <w:tcPr>
            <w:tcW w:w="789"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TLoadings</w:t>
            </w:r>
          </w:p>
        </w:tc>
        <w:tc>
          <w:tcPr>
            <w:tcW w:w="2477"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Five optional linkage time series if animals, plants, and/or organic matter are not included to represent rates of photosynthesis, respiration, nitrification, CBOD, and Sediment Oxygen Demand.</w:t>
            </w:r>
          </w:p>
        </w:tc>
      </w:tr>
      <w:tr w:rsidR="0016338C" w:rsidRPr="0016338C" w:rsidTr="0016338C">
        <w:trPr>
          <w:cantSplit/>
          <w:trHeight w:val="915"/>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lastRenderedPageBreak/>
              <w:t>TDetritus</w:t>
            </w:r>
          </w:p>
        </w:tc>
        <w:tc>
          <w:tcPr>
            <w:tcW w:w="921"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JSON_Link loadings</w:t>
            </w:r>
          </w:p>
        </w:tc>
        <w:tc>
          <w:tcPr>
            <w:tcW w:w="789"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TLoadings</w:t>
            </w:r>
          </w:p>
        </w:tc>
        <w:tc>
          <w:tcPr>
            <w:tcW w:w="2477"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Four optional linkage time series if animals, and/or plants are not included to represent rates of detrital formation, excretion, sedimentation, and gamete</w:t>
            </w:r>
            <w:r w:rsidR="00F1690E">
              <w:rPr>
                <w:rFonts w:ascii="Calibri" w:eastAsia="Times New Roman" w:hAnsi="Calibri" w:cs="Times New Roman"/>
                <w:color w:val="000000"/>
              </w:rPr>
              <w:t xml:space="preserve"> </w:t>
            </w:r>
            <w:r w:rsidRPr="0016338C">
              <w:rPr>
                <w:rFonts w:ascii="Calibri" w:eastAsia="Times New Roman" w:hAnsi="Calibri" w:cs="Times New Roman"/>
                <w:color w:val="000000"/>
              </w:rPr>
              <w:t>loss.</w:t>
            </w:r>
          </w:p>
        </w:tc>
      </w:tr>
      <w:tr w:rsidR="0016338C" w:rsidRPr="0016338C" w:rsidTr="0016338C">
        <w:trPr>
          <w:cantSplit/>
          <w:trHeight w:val="675"/>
        </w:trPr>
        <w:tc>
          <w:tcPr>
            <w:tcW w:w="813" w:type="pct"/>
            <w:tcBorders>
              <w:top w:val="nil"/>
              <w:left w:val="single" w:sz="4" w:space="0" w:color="auto"/>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TSuspendedDetr and TSedimentedDetr</w:t>
            </w:r>
          </w:p>
        </w:tc>
        <w:tc>
          <w:tcPr>
            <w:tcW w:w="921"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JSON_Link loading</w:t>
            </w:r>
          </w:p>
        </w:tc>
        <w:tc>
          <w:tcPr>
            <w:tcW w:w="789"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TLoadings</w:t>
            </w:r>
          </w:p>
        </w:tc>
        <w:tc>
          <w:tcPr>
            <w:tcW w:w="2477"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Optional linkage time series for predation of suspended or sedimented detritus by animals, if animals are not modeled.</w:t>
            </w:r>
          </w:p>
        </w:tc>
      </w:tr>
      <w:tr w:rsidR="0016338C" w:rsidRPr="0016338C" w:rsidTr="0016338C">
        <w:trPr>
          <w:cantSplit/>
          <w:trHeight w:val="1365"/>
        </w:trPr>
        <w:tc>
          <w:tcPr>
            <w:tcW w:w="813" w:type="pct"/>
            <w:tcBorders>
              <w:top w:val="nil"/>
              <w:left w:val="single" w:sz="4" w:space="0" w:color="auto"/>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TDissRefrDetr</w:t>
            </w:r>
          </w:p>
        </w:tc>
        <w:tc>
          <w:tcPr>
            <w:tcW w:w="921" w:type="pct"/>
            <w:tcBorders>
              <w:top w:val="nil"/>
              <w:left w:val="nil"/>
              <w:bottom w:val="single" w:sz="4" w:space="0" w:color="auto"/>
              <w:right w:val="single" w:sz="4" w:space="0" w:color="auto"/>
            </w:tcBorders>
            <w:shd w:val="clear" w:color="auto" w:fill="auto"/>
            <w:noWrap/>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InputRecord</w:t>
            </w:r>
          </w:p>
        </w:tc>
        <w:tc>
          <w:tcPr>
            <w:tcW w:w="789" w:type="pct"/>
            <w:tcBorders>
              <w:top w:val="nil"/>
              <w:left w:val="nil"/>
              <w:bottom w:val="single" w:sz="4" w:space="0" w:color="auto"/>
              <w:right w:val="single" w:sz="4" w:space="0" w:color="auto"/>
            </w:tcBorders>
            <w:shd w:val="clear" w:color="auto" w:fill="auto"/>
            <w:vAlign w:val="center"/>
            <w:hideMark/>
          </w:tcPr>
          <w:p w:rsid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DetritalInput</w:t>
            </w:r>
          </w:p>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RecordType</w:t>
            </w:r>
          </w:p>
        </w:tc>
        <w:tc>
          <w:tcPr>
            <w:tcW w:w="2477" w:type="pct"/>
            <w:tcBorders>
              <w:top w:val="nil"/>
              <w:left w:val="nil"/>
              <w:bottom w:val="single" w:sz="4" w:space="0" w:color="auto"/>
              <w:right w:val="single" w:sz="4" w:space="0" w:color="auto"/>
            </w:tcBorders>
            <w:shd w:val="clear" w:color="auto" w:fill="auto"/>
            <w:vAlign w:val="center"/>
            <w:hideMark/>
          </w:tcPr>
          <w:p w:rsidR="0016338C" w:rsidRPr="0016338C" w:rsidRDefault="0016338C" w:rsidP="0016338C">
            <w:pPr>
              <w:spacing w:after="0" w:line="240" w:lineRule="auto"/>
              <w:rPr>
                <w:rFonts w:ascii="Calibri" w:eastAsia="Times New Roman" w:hAnsi="Calibri" w:cs="Times New Roman"/>
                <w:color w:val="000000"/>
              </w:rPr>
            </w:pPr>
            <w:r w:rsidRPr="0016338C">
              <w:rPr>
                <w:rFonts w:ascii="Calibri" w:eastAsia="Times New Roman" w:hAnsi="Calibri" w:cs="Times New Roman"/>
                <w:color w:val="000000"/>
              </w:rPr>
              <w:t xml:space="preserve">Specialized structure that includes loadings data for all suspended and dissolved organic matter and allows for input as CBOD, OC, or OM, for example.  This </w:t>
            </w:r>
            <w:r w:rsidR="00F1690E" w:rsidRPr="0016338C">
              <w:rPr>
                <w:rFonts w:ascii="Calibri" w:eastAsia="Times New Roman" w:hAnsi="Calibri" w:cs="Times New Roman"/>
                <w:color w:val="000000"/>
              </w:rPr>
              <w:t>supersedes</w:t>
            </w:r>
            <w:r w:rsidRPr="0016338C">
              <w:rPr>
                <w:rFonts w:ascii="Calibri" w:eastAsia="Times New Roman" w:hAnsi="Calibri" w:cs="Times New Roman"/>
                <w:color w:val="000000"/>
              </w:rPr>
              <w:t xml:space="preserve"> individual loading inputs for each of the four suspended and dissolved organic matter state variables.</w:t>
            </w:r>
          </w:p>
        </w:tc>
      </w:tr>
    </w:tbl>
    <w:p w:rsidR="0016338C" w:rsidRPr="001B6923" w:rsidRDefault="0016338C" w:rsidP="001B6923"/>
    <w:p w:rsidR="00005082" w:rsidRPr="00644469" w:rsidRDefault="00915EC1" w:rsidP="00005082">
      <w:pPr>
        <w:pStyle w:val="Heading2"/>
        <w:rPr>
          <w:sz w:val="18"/>
        </w:rPr>
      </w:pPr>
      <w:bookmarkStart w:id="7" w:name="_Toc523236403"/>
      <w:r>
        <w:t>LoadingsRecord</w:t>
      </w:r>
      <w:r w:rsidR="00005082">
        <w:t xml:space="preserve"> Object</w:t>
      </w:r>
      <w:bookmarkEnd w:id="7"/>
      <w:r w:rsidR="00644469">
        <w:br/>
      </w:r>
    </w:p>
    <w:p w:rsidR="00FA11C7" w:rsidRDefault="00644469" w:rsidP="00FA11C7">
      <w:r>
        <w:t>The LoadingsRecord object is used to specify boundary-condition inputs for each state variable in the simulation (when relevant).  This object can also be used to specify time-series valuations of a variable if it is to be used as a driving variable (</w:t>
      </w:r>
      <w:r w:rsidR="00A76649">
        <w:t xml:space="preserve">set </w:t>
      </w:r>
      <w:r w:rsidR="00A76649" w:rsidRPr="00A76649">
        <w:t>UseLoadsRecAsDriver</w:t>
      </w:r>
      <w:r w:rsidR="00A76649">
        <w:t xml:space="preserve"> to true in the TStateVariable JSON</w:t>
      </w:r>
      <w:r>
        <w:t>).</w:t>
      </w:r>
    </w:p>
    <w:p w:rsidR="00644469" w:rsidRDefault="00644469" w:rsidP="00FA11C7">
      <w:r>
        <w:t>The LoadingsRecord object consists of four input time series that are saved as “</w:t>
      </w:r>
      <w:r w:rsidR="00A76649">
        <w:t>TLoadings</w:t>
      </w:r>
      <w:r>
        <w:t xml:space="preserve">” objects.  </w:t>
      </w:r>
    </w:p>
    <w:p w:rsidR="00644469" w:rsidRDefault="00644469" w:rsidP="00644469">
      <w:pPr>
        <w:pStyle w:val="ListParagraph"/>
        <w:numPr>
          <w:ilvl w:val="0"/>
          <w:numId w:val="9"/>
        </w:numPr>
      </w:pPr>
      <w:r w:rsidRPr="00644469">
        <w:rPr>
          <w:b/>
        </w:rPr>
        <w:t>Loadings:</w:t>
      </w:r>
      <w:r w:rsidR="006E74B5">
        <w:rPr>
          <w:b/>
        </w:rPr>
        <w:t xml:space="preserve"> </w:t>
      </w:r>
      <w:r>
        <w:t xml:space="preserve"> Inflow loadings or time-series water column valuations go into this </w:t>
      </w:r>
      <w:r w:rsidR="00A76649">
        <w:t>TLoadings object</w:t>
      </w:r>
      <w:r>
        <w:t xml:space="preserve">.  </w:t>
      </w:r>
      <w:r w:rsidR="006E74B5">
        <w:t>These loadings have</w:t>
      </w:r>
      <w:r>
        <w:t xml:space="preserve"> the native unit of the state variable, often mg/L</w:t>
      </w:r>
      <w:r w:rsidR="006E74B5">
        <w:t xml:space="preserve"> d</w:t>
      </w:r>
      <w:r>
        <w:t>.</w:t>
      </w:r>
      <w:r w:rsidR="006E74B5">
        <w:t xml:space="preserve">  This loading is associated with the inflow loading calculated by or input into the AQUATOXVolumeModel.</w:t>
      </w:r>
    </w:p>
    <w:p w:rsidR="006E74B5" w:rsidRPr="006E74B5" w:rsidRDefault="00644469" w:rsidP="00644469">
      <w:pPr>
        <w:pStyle w:val="ListParagraph"/>
        <w:numPr>
          <w:ilvl w:val="0"/>
          <w:numId w:val="9"/>
        </w:numPr>
      </w:pPr>
      <w:r w:rsidRPr="00644469">
        <w:rPr>
          <w:b/>
        </w:rPr>
        <w:t xml:space="preserve">Alt_Loadings[0]: </w:t>
      </w:r>
      <w:r w:rsidR="006E74B5">
        <w:rPr>
          <w:b/>
        </w:rPr>
        <w:t xml:space="preserve"> </w:t>
      </w:r>
      <w:r w:rsidRPr="00644469">
        <w:t>Point</w:t>
      </w:r>
      <w:r w:rsidR="006E74B5">
        <w:t xml:space="preserve"> </w:t>
      </w:r>
      <w:r w:rsidRPr="00644469">
        <w:t>Source</w:t>
      </w:r>
      <w:r w:rsidR="006E74B5">
        <w:t xml:space="preserve"> time series, usually in g/d. </w:t>
      </w:r>
      <w:r>
        <w:t xml:space="preserve">  For the TVolume state variable this register contains inflow water loadings when required</w:t>
      </w:r>
      <w:r w:rsidR="006E74B5">
        <w:t xml:space="preserve"> in m</w:t>
      </w:r>
      <w:r w:rsidR="006E74B5" w:rsidRPr="006E74B5">
        <w:rPr>
          <w:vertAlign w:val="superscript"/>
        </w:rPr>
        <w:t>3</w:t>
      </w:r>
      <w:r w:rsidR="006E74B5">
        <w:t>/d</w:t>
      </w:r>
      <w:r>
        <w:t>.</w:t>
      </w:r>
      <w:r w:rsidRPr="00644469">
        <w:rPr>
          <w:b/>
        </w:rPr>
        <w:t xml:space="preserve"> </w:t>
      </w:r>
    </w:p>
    <w:p w:rsidR="00644469" w:rsidRDefault="00644469" w:rsidP="00644469">
      <w:pPr>
        <w:pStyle w:val="ListParagraph"/>
        <w:numPr>
          <w:ilvl w:val="0"/>
          <w:numId w:val="9"/>
        </w:numPr>
      </w:pPr>
      <w:r w:rsidRPr="00644469">
        <w:rPr>
          <w:b/>
        </w:rPr>
        <w:t>Alt_Loadings[1]:</w:t>
      </w:r>
      <w:r w:rsidR="006E74B5">
        <w:rPr>
          <w:b/>
        </w:rPr>
        <w:t xml:space="preserve"> </w:t>
      </w:r>
      <w:r w:rsidRPr="00644469">
        <w:rPr>
          <w:b/>
        </w:rPr>
        <w:t xml:space="preserve"> </w:t>
      </w:r>
      <w:r w:rsidRPr="00644469">
        <w:t>Direct</w:t>
      </w:r>
      <w:r w:rsidR="006E74B5">
        <w:t xml:space="preserve"> </w:t>
      </w:r>
      <w:r w:rsidRPr="00644469">
        <w:t>Precip</w:t>
      </w:r>
      <w:r w:rsidR="006E74B5">
        <w:t>itation time series usually in g/ m</w:t>
      </w:r>
      <w:r w:rsidR="006E74B5" w:rsidRPr="006E74B5">
        <w:rPr>
          <w:vertAlign w:val="superscript"/>
        </w:rPr>
        <w:t>2</w:t>
      </w:r>
      <w:r w:rsidR="006E74B5">
        <w:t>d</w:t>
      </w:r>
      <w:r w:rsidRPr="00644469">
        <w:t xml:space="preserve">, or </w:t>
      </w:r>
      <w:r>
        <w:t>For the TVolume state variable this register contains outflow water (discharge</w:t>
      </w:r>
      <w:r w:rsidR="006E74B5">
        <w:t xml:space="preserve"> in m</w:t>
      </w:r>
      <w:r w:rsidR="006E74B5" w:rsidRPr="006E74B5">
        <w:rPr>
          <w:vertAlign w:val="superscript"/>
        </w:rPr>
        <w:t>3</w:t>
      </w:r>
      <w:r w:rsidR="006E74B5">
        <w:t>/d</w:t>
      </w:r>
      <w:r>
        <w:t>).</w:t>
      </w:r>
    </w:p>
    <w:p w:rsidR="00644469" w:rsidRDefault="00644469" w:rsidP="00644469">
      <w:pPr>
        <w:pStyle w:val="ListParagraph"/>
        <w:numPr>
          <w:ilvl w:val="0"/>
          <w:numId w:val="9"/>
        </w:numPr>
      </w:pPr>
      <w:r w:rsidRPr="006E74B5">
        <w:rPr>
          <w:b/>
        </w:rPr>
        <w:t xml:space="preserve">Alt_Loadings[2]: </w:t>
      </w:r>
      <w:r w:rsidR="006E74B5" w:rsidRPr="006E74B5">
        <w:rPr>
          <w:b/>
        </w:rPr>
        <w:t xml:space="preserve"> </w:t>
      </w:r>
      <w:r w:rsidR="006E74B5">
        <w:t>Non-</w:t>
      </w:r>
      <w:r w:rsidR="006E74B5" w:rsidRPr="00644469">
        <w:t>Point</w:t>
      </w:r>
      <w:r w:rsidR="006E74B5">
        <w:t xml:space="preserve"> </w:t>
      </w:r>
      <w:r w:rsidR="006E74B5" w:rsidRPr="00644469">
        <w:t>Source</w:t>
      </w:r>
      <w:r w:rsidR="006E74B5">
        <w:t xml:space="preserve"> time series, usually in g/d.  (N/A for TVolume)</w:t>
      </w:r>
    </w:p>
    <w:p w:rsidR="00644469" w:rsidRDefault="00A76649" w:rsidP="00FA11C7">
      <w:r>
        <w:t>TLoadings</w:t>
      </w:r>
      <w:r w:rsidR="00644469">
        <w:t xml:space="preserve"> inputs may be input in two formats:  a “classic AQUATOX” input for consistency with AQUATOX 3.2 data, and an “ITimeSeriesInput” format so that outputs from other HMS models can be used to drive the HMS AQUATOX components.</w:t>
      </w:r>
    </w:p>
    <w:p w:rsidR="00644469" w:rsidRDefault="00644469" w:rsidP="00FA11C7">
      <w:r>
        <w:t>Components of the “classic AQUATOX” LoadingsRecord are as follows:</w:t>
      </w:r>
    </w:p>
    <w:p w:rsidR="00644469" w:rsidRDefault="00644469" w:rsidP="00644469">
      <w:pPr>
        <w:pStyle w:val="ListParagraph"/>
        <w:numPr>
          <w:ilvl w:val="0"/>
          <w:numId w:val="8"/>
        </w:numPr>
      </w:pPr>
      <w:r>
        <w:t>Hourly: Boolean that specifies whether input data are in hourly or daily format.</w:t>
      </w:r>
    </w:p>
    <w:p w:rsidR="00644469" w:rsidRDefault="00A76649" w:rsidP="00644469">
      <w:pPr>
        <w:pStyle w:val="ListParagraph"/>
        <w:numPr>
          <w:ilvl w:val="0"/>
          <w:numId w:val="8"/>
        </w:numPr>
      </w:pPr>
      <w:r>
        <w:t>UseConstant: boolean that specifies whether to use a constant loading as opposed to a time series.</w:t>
      </w:r>
    </w:p>
    <w:p w:rsidR="00A76649" w:rsidRDefault="00A76649" w:rsidP="00644469">
      <w:pPr>
        <w:pStyle w:val="ListParagraph"/>
        <w:numPr>
          <w:ilvl w:val="0"/>
          <w:numId w:val="8"/>
        </w:numPr>
      </w:pPr>
      <w:r>
        <w:lastRenderedPageBreak/>
        <w:t>ConstLoad: double that specifies the constant load if UseConstant=true.</w:t>
      </w:r>
    </w:p>
    <w:p w:rsidR="00A76649" w:rsidRDefault="00A76649" w:rsidP="00644469">
      <w:pPr>
        <w:pStyle w:val="ListParagraph"/>
        <w:numPr>
          <w:ilvl w:val="0"/>
          <w:numId w:val="8"/>
        </w:numPr>
      </w:pPr>
      <w:r>
        <w:t xml:space="preserve">NoUserLoad: Boolean that specifies that there is no loading for this state variable, or to use alternative equations </w:t>
      </w:r>
      <w:r w:rsidR="00F1690E">
        <w:t>(</w:t>
      </w:r>
      <w:r>
        <w:t>for light loadings or temperature loadings for example</w:t>
      </w:r>
      <w:r w:rsidR="00F1690E">
        <w:t>)</w:t>
      </w:r>
      <w:r>
        <w:t>.</w:t>
      </w:r>
    </w:p>
    <w:p w:rsidR="00A76649" w:rsidRDefault="00A76649" w:rsidP="00644469">
      <w:pPr>
        <w:pStyle w:val="ListParagraph"/>
        <w:numPr>
          <w:ilvl w:val="0"/>
          <w:numId w:val="8"/>
        </w:numPr>
      </w:pPr>
      <w:r>
        <w:t>MultLdg: a multiply-loading-by factor that allows for</w:t>
      </w:r>
      <w:r w:rsidR="00F1690E">
        <w:t xml:space="preserve"> the</w:t>
      </w:r>
      <w:r>
        <w:t xml:space="preserve"> perturbation of time-series</w:t>
      </w:r>
    </w:p>
    <w:p w:rsidR="00A76649" w:rsidRDefault="00A76649" w:rsidP="00644469">
      <w:pPr>
        <w:pStyle w:val="ListParagraph"/>
        <w:numPr>
          <w:ilvl w:val="0"/>
          <w:numId w:val="8"/>
        </w:numPr>
      </w:pPr>
      <w:r>
        <w:t>list: a SortedList that contains a time series if relevant.  If there are gaps in the daily or hourly data AQUATOX will interpolate between them.</w:t>
      </w:r>
    </w:p>
    <w:p w:rsidR="00A76649" w:rsidRPr="00FA11C7" w:rsidRDefault="00A76649" w:rsidP="00A76649">
      <w:r>
        <w:t>If user</w:t>
      </w:r>
      <w:r w:rsidR="00F1690E">
        <w:t>s</w:t>
      </w:r>
      <w:r>
        <w:t xml:space="preserve"> wish to use HMS model outputs to drive AQUATOX, they may put a TimeSeriesInput into the “ITSI” variable within the TLoadings object.  This will </w:t>
      </w:r>
      <w:r w:rsidR="00F1690E">
        <w:t>supersede</w:t>
      </w:r>
      <w:r>
        <w:t xml:space="preserve"> other inputs in the TLoadings.  Within the TimeSeriesInput</w:t>
      </w:r>
      <w:r w:rsidR="000F3FDA">
        <w:t xml:space="preserve"> JSON</w:t>
      </w:r>
      <w:r>
        <w:t xml:space="preserve">, </w:t>
      </w:r>
      <w:r w:rsidR="000F3FDA">
        <w:t xml:space="preserve">an “input” variable that should contain the TimeSeriesOutput from the HMS model.  (An example </w:t>
      </w:r>
      <w:r w:rsidR="00F1690E">
        <w:t>may be found</w:t>
      </w:r>
      <w:r w:rsidR="000F3FDA">
        <w:t xml:space="preserve"> in line 154 of the file “</w:t>
      </w:r>
      <w:r w:rsidR="000F3FDA" w:rsidRPr="000F3FDA">
        <w:t>Lake Jesup FL drive HMS Output.JSON</w:t>
      </w:r>
      <w:r w:rsidR="000F3FDA">
        <w:t>.”)</w:t>
      </w:r>
    </w:p>
    <w:p w:rsidR="00005082" w:rsidRDefault="00644469" w:rsidP="00005082">
      <w:pPr>
        <w:pStyle w:val="Heading2"/>
      </w:pPr>
      <w:bookmarkStart w:id="8" w:name="_Toc523236404"/>
      <w:r>
        <w:t xml:space="preserve">HMS </w:t>
      </w:r>
      <w:r w:rsidR="00005082">
        <w:t>Output Format</w:t>
      </w:r>
      <w:bookmarkEnd w:id="8"/>
    </w:p>
    <w:p w:rsidR="001B6923" w:rsidRDefault="000F3FDA" w:rsidP="001B6923">
      <w:r w:rsidRPr="000F3FDA">
        <w:rPr>
          <w:sz w:val="14"/>
        </w:rPr>
        <w:br/>
      </w:r>
      <w:r>
        <w:t xml:space="preserve">The </w:t>
      </w:r>
      <w:r w:rsidR="00F1690E">
        <w:t xml:space="preserve">AQUATOX </w:t>
      </w:r>
      <w:r>
        <w:t xml:space="preserve">HMS Output format is an HMS </w:t>
      </w:r>
      <w:r w:rsidR="00F1690E">
        <w:t>“</w:t>
      </w:r>
      <w:r>
        <w:t>TimeSeriesOutput</w:t>
      </w:r>
      <w:r w:rsidR="00F1690E">
        <w:t>” structure</w:t>
      </w:r>
      <w:r w:rsidR="003E5DDE">
        <w:t>.  These outputs are provided for each state variable in the SV array in the “output” variable.  An example outp</w:t>
      </w:r>
      <w:bookmarkStart w:id="9" w:name="_GoBack"/>
      <w:bookmarkEnd w:id="9"/>
      <w:r w:rsidR="003E5DDE">
        <w:t>ut follows:</w:t>
      </w:r>
    </w:p>
    <w:p w:rsidR="003E5DDE" w:rsidRDefault="003E5DDE" w:rsidP="003E5DDE">
      <w:pPr>
        <w:pBdr>
          <w:top w:val="single" w:sz="4" w:space="1" w:color="auto"/>
          <w:left w:val="single" w:sz="4" w:space="4" w:color="auto"/>
          <w:bottom w:val="single" w:sz="4" w:space="1" w:color="auto"/>
          <w:right w:val="single" w:sz="4" w:space="4" w:color="auto"/>
        </w:pBdr>
        <w:spacing w:after="0"/>
      </w:pPr>
      <w:r>
        <w:t>"output": {</w:t>
      </w:r>
    </w:p>
    <w:p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"$type": "AQUATOXTSOutput",</w:t>
      </w:r>
    </w:p>
    <w:p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"Dataset": "Carbon dioxide",</w:t>
      </w:r>
    </w:p>
    <w:p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"DataSource": "AQUATOX",</w:t>
      </w:r>
    </w:p>
    <w:p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"Metadata": {</w:t>
      </w:r>
    </w:p>
    <w:p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"AQUATOX_HMS_Version": "1.0.0",</w:t>
      </w:r>
    </w:p>
    <w:p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"SimulationDate": "2018-05-11T14:57:44"</w:t>
      </w:r>
    </w:p>
    <w:p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w:t>
      </w:r>
    </w:p>
    <w:p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"Data": {</w:t>
      </w:r>
    </w:p>
    <w:p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"1996-04-08T00:00:00": [</w:t>
      </w:r>
    </w:p>
    <w:p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"7.000000E-001"</w:t>
      </w:r>
    </w:p>
    <w:p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w:t>
      </w:r>
    </w:p>
    <w:p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"1996-04-09T00:00:00": [</w:t>
      </w:r>
    </w:p>
    <w:p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"6.877901E-001"</w:t>
      </w:r>
    </w:p>
    <w:p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w:t>
      </w:r>
    </w:p>
    <w:p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w:t>
      </w:r>
    </w:p>
    <w:p w:rsidR="003E5DDE" w:rsidRDefault="003E5DDE" w:rsidP="003E5DDE">
      <w:pPr>
        <w:pBdr>
          <w:top w:val="single" w:sz="4" w:space="1" w:color="auto"/>
          <w:left w:val="single" w:sz="4" w:space="4" w:color="auto"/>
          <w:bottom w:val="single" w:sz="4" w:space="1" w:color="auto"/>
          <w:right w:val="single" w:sz="4" w:space="4" w:color="auto"/>
        </w:pBdr>
        <w:spacing w:after="0"/>
      </w:pPr>
      <w:r>
        <w:t xml:space="preserve">      },</w:t>
      </w:r>
    </w:p>
    <w:p w:rsidR="00574447" w:rsidRDefault="003E5DDE" w:rsidP="00574447">
      <w:pPr>
        <w:pStyle w:val="Heading2"/>
      </w:pPr>
      <w:bookmarkStart w:id="10" w:name="_Toc523236405"/>
      <w:r>
        <w:br/>
      </w:r>
      <w:r w:rsidR="00574447">
        <w:t>HMS AQUATOX Models and Data Requirements</w:t>
      </w:r>
      <w:bookmarkEnd w:id="10"/>
    </w:p>
    <w:p w:rsidR="00574447" w:rsidRPr="000F3FDA" w:rsidRDefault="00574447" w:rsidP="00574447">
      <w:pPr>
        <w:rPr>
          <w:sz w:val="12"/>
        </w:rPr>
      </w:pPr>
    </w:p>
    <w:tbl>
      <w:tblPr>
        <w:tblW w:w="8820" w:type="dxa"/>
        <w:tblInd w:w="93" w:type="dxa"/>
        <w:tblLook w:val="04A0" w:firstRow="1" w:lastRow="0" w:firstColumn="1" w:lastColumn="0" w:noHBand="0" w:noVBand="1"/>
      </w:tblPr>
      <w:tblGrid>
        <w:gridCol w:w="2400"/>
        <w:gridCol w:w="6420"/>
      </w:tblGrid>
      <w:tr w:rsidR="00574447" w:rsidRPr="00574447" w:rsidTr="00574447">
        <w:trPr>
          <w:trHeight w:val="375"/>
          <w:tblHeader/>
        </w:trPr>
        <w:tc>
          <w:tcPr>
            <w:tcW w:w="2400" w:type="dxa"/>
            <w:tcBorders>
              <w:top w:val="single" w:sz="4" w:space="0" w:color="auto"/>
              <w:left w:val="single" w:sz="4" w:space="0" w:color="auto"/>
              <w:bottom w:val="nil"/>
              <w:right w:val="nil"/>
            </w:tcBorders>
            <w:shd w:val="clear" w:color="000000" w:fill="DCE6F1"/>
            <w:noWrap/>
            <w:vAlign w:val="bottom"/>
            <w:hideMark/>
          </w:tcPr>
          <w:p w:rsidR="00574447" w:rsidRPr="00574447" w:rsidRDefault="00574447" w:rsidP="00574447">
            <w:pPr>
              <w:spacing w:after="0" w:line="240" w:lineRule="auto"/>
              <w:rPr>
                <w:rFonts w:ascii="Calibri" w:eastAsia="Times New Roman" w:hAnsi="Calibri" w:cs="Times New Roman"/>
                <w:b/>
                <w:bCs/>
                <w:color w:val="000000"/>
              </w:rPr>
            </w:pPr>
            <w:r w:rsidRPr="00574447">
              <w:rPr>
                <w:rFonts w:ascii="Calibri" w:eastAsia="Times New Roman" w:hAnsi="Calibri" w:cs="Times New Roman"/>
                <w:b/>
                <w:bCs/>
                <w:color w:val="000000"/>
              </w:rPr>
              <w:t>Model</w:t>
            </w:r>
          </w:p>
        </w:tc>
        <w:tc>
          <w:tcPr>
            <w:tcW w:w="6420" w:type="dxa"/>
            <w:tcBorders>
              <w:top w:val="single" w:sz="4" w:space="0" w:color="auto"/>
              <w:left w:val="nil"/>
              <w:bottom w:val="nil"/>
              <w:right w:val="single" w:sz="4" w:space="0" w:color="auto"/>
            </w:tcBorders>
            <w:shd w:val="clear" w:color="000000" w:fill="DCE6F1"/>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Requirement</w:t>
            </w:r>
          </w:p>
        </w:tc>
      </w:tr>
      <w:tr w:rsidR="00574447" w:rsidRPr="00574447" w:rsidTr="00574447">
        <w:trPr>
          <w:trHeight w:val="300"/>
        </w:trPr>
        <w:tc>
          <w:tcPr>
            <w:tcW w:w="2400" w:type="dxa"/>
            <w:tcBorders>
              <w:top w:val="single" w:sz="4" w:space="0" w:color="auto"/>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All Models</w:t>
            </w:r>
          </w:p>
        </w:tc>
        <w:tc>
          <w:tcPr>
            <w:tcW w:w="6420" w:type="dxa"/>
            <w:tcBorders>
              <w:top w:val="single" w:sz="4" w:space="0" w:color="auto"/>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Valid JSON with type bindings</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All Models</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One or more State Variables in Simulation</w:t>
            </w:r>
          </w:p>
        </w:tc>
      </w:tr>
      <w:tr w:rsidR="00574447" w:rsidRPr="00574447" w:rsidTr="00574447">
        <w:trPr>
          <w:trHeight w:val="300"/>
        </w:trPr>
        <w:tc>
          <w:tcPr>
            <w:tcW w:w="2400" w:type="dxa"/>
            <w:tcBorders>
              <w:top w:val="nil"/>
              <w:left w:val="single" w:sz="4" w:space="0" w:color="auto"/>
              <w:bottom w:val="single" w:sz="4" w:space="0" w:color="auto"/>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All Models</w:t>
            </w:r>
          </w:p>
        </w:tc>
        <w:tc>
          <w:tcPr>
            <w:tcW w:w="6420" w:type="dxa"/>
            <w:tcBorders>
              <w:top w:val="nil"/>
              <w:left w:val="nil"/>
              <w:bottom w:val="single" w:sz="4" w:space="0" w:color="auto"/>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Valid PSETUP inputs</w:t>
            </w:r>
          </w:p>
        </w:tc>
      </w:tr>
      <w:tr w:rsidR="00574447" w:rsidRPr="00574447" w:rsidTr="00574447">
        <w:trPr>
          <w:trHeight w:val="12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lastRenderedPageBreak/>
              <w:t>AQTVolumeModel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Volume State Variable</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AQTVolumeModel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Valid "Location" object</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AQTVolumeModel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Valid "Locale" record</w:t>
            </w:r>
          </w:p>
        </w:tc>
      </w:tr>
      <w:tr w:rsidR="00574447" w:rsidRPr="00574447" w:rsidTr="00574447">
        <w:trPr>
          <w:trHeight w:val="300"/>
        </w:trPr>
        <w:tc>
          <w:tcPr>
            <w:tcW w:w="2400" w:type="dxa"/>
            <w:tcBorders>
              <w:top w:val="nil"/>
              <w:left w:val="single" w:sz="4" w:space="0" w:color="auto"/>
              <w:bottom w:val="single" w:sz="4" w:space="0" w:color="auto"/>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AQTVolumeModel</w:t>
            </w:r>
          </w:p>
        </w:tc>
        <w:tc>
          <w:tcPr>
            <w:tcW w:w="6420" w:type="dxa"/>
            <w:tcBorders>
              <w:top w:val="nil"/>
              <w:left w:val="nil"/>
              <w:bottom w:val="single" w:sz="4" w:space="0" w:color="auto"/>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xml:space="preserve">Values within "Locale" record </w:t>
            </w:r>
          </w:p>
        </w:tc>
      </w:tr>
      <w:tr w:rsidR="00574447" w:rsidRPr="00574447" w:rsidTr="00574447">
        <w:trPr>
          <w:trHeight w:val="12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Nutrient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AQTVolumeModel</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Nutrient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xml:space="preserve">Nitrate and Ammonia State Variables  </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Nutrient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and/or TSP State Variable</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Nutrient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Temperature State Variable or Driving Var.</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Nutrient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pH model or Driving Var.</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Nutrient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Oxygen State Variable or Driving Variable</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Nutrient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Organic Matter, soft requirement.</w:t>
            </w:r>
          </w:p>
        </w:tc>
      </w:tr>
      <w:tr w:rsidR="00574447" w:rsidRPr="00574447" w:rsidTr="00574447">
        <w:trPr>
          <w:trHeight w:val="300"/>
        </w:trPr>
        <w:tc>
          <w:tcPr>
            <w:tcW w:w="2400" w:type="dxa"/>
            <w:tcBorders>
              <w:top w:val="nil"/>
              <w:left w:val="single" w:sz="4" w:space="0" w:color="auto"/>
              <w:bottom w:val="single" w:sz="4" w:space="0" w:color="auto"/>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Nutrient Model</w:t>
            </w:r>
          </w:p>
        </w:tc>
        <w:tc>
          <w:tcPr>
            <w:tcW w:w="6420" w:type="dxa"/>
            <w:tcBorders>
              <w:top w:val="nil"/>
              <w:left w:val="nil"/>
              <w:bottom w:val="single" w:sz="4" w:space="0" w:color="auto"/>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Animals and Plants, soft requirement</w:t>
            </w:r>
          </w:p>
        </w:tc>
      </w:tr>
      <w:tr w:rsidR="00574447" w:rsidRPr="00574447" w:rsidTr="00574447">
        <w:trPr>
          <w:trHeight w:val="135"/>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Oxygen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AQTVolumeModel</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Oxygen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Temperature State Variable or Driving Var.</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Oxygen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Nitrate state variable, soft requirement</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Oxygen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Animals and Plants, soft requirement</w:t>
            </w:r>
          </w:p>
        </w:tc>
      </w:tr>
      <w:tr w:rsidR="00574447" w:rsidRPr="00574447" w:rsidTr="00574447">
        <w:trPr>
          <w:trHeight w:val="300"/>
        </w:trPr>
        <w:tc>
          <w:tcPr>
            <w:tcW w:w="2400" w:type="dxa"/>
            <w:tcBorders>
              <w:top w:val="nil"/>
              <w:left w:val="single" w:sz="4" w:space="0" w:color="auto"/>
              <w:bottom w:val="single" w:sz="4" w:space="0" w:color="auto"/>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Oxygen Model</w:t>
            </w:r>
          </w:p>
        </w:tc>
        <w:tc>
          <w:tcPr>
            <w:tcW w:w="6420" w:type="dxa"/>
            <w:tcBorders>
              <w:top w:val="nil"/>
              <w:left w:val="nil"/>
              <w:bottom w:val="single" w:sz="4" w:space="0" w:color="auto"/>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Organic Matter, soft requirement.</w:t>
            </w:r>
          </w:p>
        </w:tc>
      </w:tr>
      <w:tr w:rsidR="00574447" w:rsidRPr="00574447" w:rsidTr="00574447">
        <w:trPr>
          <w:trHeight w:val="12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 </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 </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Carbon Dioxide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AQTVolumeModel</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Carbon Dioxide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Temperature State Variable or Driving Var.</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Carbon Dioxide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Oxygen State Variable or Driving Var</w:t>
            </w:r>
          </w:p>
        </w:tc>
      </w:tr>
      <w:tr w:rsidR="00574447" w:rsidRPr="00574447" w:rsidTr="00574447">
        <w:trPr>
          <w:trHeight w:val="300"/>
        </w:trPr>
        <w:tc>
          <w:tcPr>
            <w:tcW w:w="2400" w:type="dxa"/>
            <w:tcBorders>
              <w:top w:val="nil"/>
              <w:left w:val="single" w:sz="4" w:space="0" w:color="auto"/>
              <w:bottom w:val="single" w:sz="4" w:space="0" w:color="auto"/>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Carbon Dioxide Model</w:t>
            </w:r>
          </w:p>
        </w:tc>
        <w:tc>
          <w:tcPr>
            <w:tcW w:w="6420" w:type="dxa"/>
            <w:tcBorders>
              <w:top w:val="nil"/>
              <w:left w:val="nil"/>
              <w:bottom w:val="single" w:sz="4" w:space="0" w:color="auto"/>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Animals and Plants, soft requirement</w:t>
            </w:r>
          </w:p>
        </w:tc>
      </w:tr>
      <w:tr w:rsidR="00574447" w:rsidRPr="00574447" w:rsidTr="00574447">
        <w:trPr>
          <w:trHeight w:val="135"/>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pH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Carbon Dioxide Model or Driving Var</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pH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Temperature State Variable or Driving Var.</w:t>
            </w:r>
          </w:p>
        </w:tc>
      </w:tr>
      <w:tr w:rsidR="00574447" w:rsidRPr="00574447" w:rsidTr="00574447">
        <w:trPr>
          <w:trHeight w:val="300"/>
        </w:trPr>
        <w:tc>
          <w:tcPr>
            <w:tcW w:w="2400" w:type="dxa"/>
            <w:tcBorders>
              <w:top w:val="nil"/>
              <w:left w:val="single" w:sz="4" w:space="0" w:color="auto"/>
              <w:bottom w:val="single" w:sz="4" w:space="0" w:color="auto"/>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pH Model</w:t>
            </w:r>
          </w:p>
        </w:tc>
        <w:tc>
          <w:tcPr>
            <w:tcW w:w="6420" w:type="dxa"/>
            <w:tcBorders>
              <w:top w:val="nil"/>
              <w:left w:val="nil"/>
              <w:bottom w:val="single" w:sz="4" w:space="0" w:color="auto"/>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Dissolved Org Matter or Driving Vars., soft</w:t>
            </w:r>
          </w:p>
        </w:tc>
      </w:tr>
      <w:tr w:rsidR="00574447" w:rsidRPr="00574447" w:rsidTr="00574447">
        <w:trPr>
          <w:trHeight w:val="12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Organic Matter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AQTVolumeModel</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Organic Matter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Six OM State Variables</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Organic Matter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pH model or Driving Var.</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Organic Matter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Oxygen model or Driving Var.</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Organic Matter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Animals and Plants, soft requirement</w:t>
            </w:r>
          </w:p>
        </w:tc>
      </w:tr>
      <w:tr w:rsidR="00574447" w:rsidRPr="00574447" w:rsidTr="00574447">
        <w:trPr>
          <w:trHeight w:val="300"/>
        </w:trPr>
        <w:tc>
          <w:tcPr>
            <w:tcW w:w="2400" w:type="dxa"/>
            <w:tcBorders>
              <w:top w:val="nil"/>
              <w:left w:val="single" w:sz="4" w:space="0" w:color="auto"/>
              <w:bottom w:val="single" w:sz="4" w:space="0" w:color="auto"/>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Organic Matter Model</w:t>
            </w:r>
          </w:p>
        </w:tc>
        <w:tc>
          <w:tcPr>
            <w:tcW w:w="6420" w:type="dxa"/>
            <w:tcBorders>
              <w:top w:val="nil"/>
              <w:left w:val="nil"/>
              <w:bottom w:val="single" w:sz="4" w:space="0" w:color="auto"/>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Erosion / deposition rates, soft requirement</w:t>
            </w:r>
          </w:p>
        </w:tc>
      </w:tr>
      <w:tr w:rsidR="00574447" w:rsidRPr="00574447" w:rsidTr="00574447">
        <w:trPr>
          <w:trHeight w:val="135"/>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Diagenesis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AQTVolumeModel</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Diagenesis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Water Column Nutrients</w:t>
            </w:r>
            <w:r w:rsidR="00826E3E">
              <w:rPr>
                <w:rFonts w:ascii="Calibri" w:eastAsia="Times New Roman" w:hAnsi="Calibri" w:cs="Times New Roman"/>
                <w:color w:val="000000"/>
              </w:rPr>
              <w:t xml:space="preserve"> (AQTNutrientModel)</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Diagenesis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POC, PON, POP state variables G1 to G3</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Diagenesis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Phosphate Ammonia Nitrate L1 and L2</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Diagenesis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Temperature State Variable or Driving Var.</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Diagenesis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Oxygen State Variable or Driving Variable</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Diagenesis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Detritivores eating sediment bed (soft)</w:t>
            </w:r>
          </w:p>
        </w:tc>
      </w:tr>
      <w:tr w:rsidR="00574447" w:rsidRPr="00574447" w:rsidTr="00574447">
        <w:trPr>
          <w:trHeight w:val="300"/>
        </w:trPr>
        <w:tc>
          <w:tcPr>
            <w:tcW w:w="2400" w:type="dxa"/>
            <w:tcBorders>
              <w:top w:val="nil"/>
              <w:left w:val="single" w:sz="4" w:space="0" w:color="auto"/>
              <w:bottom w:val="single" w:sz="4" w:space="0" w:color="auto"/>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lastRenderedPageBreak/>
              <w:t>Diagenesis Model</w:t>
            </w:r>
          </w:p>
        </w:tc>
        <w:tc>
          <w:tcPr>
            <w:tcW w:w="6420" w:type="dxa"/>
            <w:tcBorders>
              <w:top w:val="nil"/>
              <w:left w:val="nil"/>
              <w:bottom w:val="single" w:sz="4" w:space="0" w:color="auto"/>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Animals Plants, OM depositing to sediment bed (soft requirement)</w:t>
            </w:r>
          </w:p>
        </w:tc>
      </w:tr>
      <w:tr w:rsidR="00574447" w:rsidRPr="00574447" w:rsidTr="00574447">
        <w:trPr>
          <w:trHeight w:val="135"/>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 </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Chemical Fate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Chemical in water column state var (TToxics)</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Chemical Fate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AQTVolumeModel</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Chemical Fate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Temperature State Variable or Driving Var.</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Chemical Fate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Oxygen State Variable or Driving Variable</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Chemical Fate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pH model or Driving Var.</w:t>
            </w:r>
          </w:p>
        </w:tc>
      </w:tr>
      <w:tr w:rsidR="00574447" w:rsidRPr="00574447" w:rsidTr="00574447">
        <w:trPr>
          <w:trHeight w:val="300"/>
        </w:trPr>
        <w:tc>
          <w:tcPr>
            <w:tcW w:w="2400" w:type="dxa"/>
            <w:tcBorders>
              <w:top w:val="nil"/>
              <w:left w:val="single" w:sz="4" w:space="0" w:color="auto"/>
              <w:bottom w:val="nil"/>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Chemical Fate Model</w:t>
            </w:r>
          </w:p>
        </w:tc>
        <w:tc>
          <w:tcPr>
            <w:tcW w:w="6420" w:type="dxa"/>
            <w:tcBorders>
              <w:top w:val="nil"/>
              <w:left w:val="nil"/>
              <w:bottom w:val="nil"/>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000000"/>
              </w:rPr>
            </w:pPr>
            <w:r w:rsidRPr="00574447">
              <w:rPr>
                <w:rFonts w:ascii="Calibri" w:eastAsia="Times New Roman" w:hAnsi="Calibri" w:cs="Times New Roman"/>
                <w:color w:val="000000"/>
              </w:rPr>
              <w:t>Light loadings</w:t>
            </w:r>
          </w:p>
        </w:tc>
      </w:tr>
      <w:tr w:rsidR="00574447" w:rsidRPr="00574447" w:rsidTr="00574447">
        <w:trPr>
          <w:trHeight w:val="300"/>
        </w:trPr>
        <w:tc>
          <w:tcPr>
            <w:tcW w:w="2400" w:type="dxa"/>
            <w:tcBorders>
              <w:top w:val="nil"/>
              <w:left w:val="single" w:sz="4" w:space="0" w:color="auto"/>
              <w:bottom w:val="single" w:sz="4" w:space="0" w:color="auto"/>
              <w:right w:val="nil"/>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Chemical Fate Model</w:t>
            </w:r>
          </w:p>
        </w:tc>
        <w:tc>
          <w:tcPr>
            <w:tcW w:w="6420" w:type="dxa"/>
            <w:tcBorders>
              <w:top w:val="nil"/>
              <w:left w:val="nil"/>
              <w:bottom w:val="single" w:sz="4" w:space="0" w:color="auto"/>
              <w:right w:val="single" w:sz="4" w:space="0" w:color="auto"/>
            </w:tcBorders>
            <w:shd w:val="clear" w:color="auto" w:fill="auto"/>
            <w:noWrap/>
            <w:vAlign w:val="bottom"/>
            <w:hideMark/>
          </w:tcPr>
          <w:p w:rsidR="00574447" w:rsidRPr="00574447" w:rsidRDefault="00574447" w:rsidP="00574447">
            <w:pPr>
              <w:spacing w:after="0" w:line="240" w:lineRule="auto"/>
              <w:rPr>
                <w:rFonts w:ascii="Calibri" w:eastAsia="Times New Roman" w:hAnsi="Calibri" w:cs="Times New Roman"/>
                <w:color w:val="C00000"/>
              </w:rPr>
            </w:pPr>
            <w:r w:rsidRPr="00574447">
              <w:rPr>
                <w:rFonts w:ascii="Calibri" w:eastAsia="Times New Roman" w:hAnsi="Calibri" w:cs="Times New Roman"/>
                <w:color w:val="C00000"/>
              </w:rPr>
              <w:t>Animals Plants, OM sorption and desorption (soft requirement)</w:t>
            </w:r>
          </w:p>
        </w:tc>
      </w:tr>
    </w:tbl>
    <w:p w:rsidR="00574447" w:rsidRPr="00574447" w:rsidRDefault="00574447" w:rsidP="00574447"/>
    <w:p w:rsidR="00CC2BA2" w:rsidRDefault="00CC2BA2" w:rsidP="00CC2BA2">
      <w:pPr>
        <w:pStyle w:val="Heading2"/>
      </w:pPr>
      <w:bookmarkStart w:id="11" w:name="_Toc523236406"/>
      <w:r>
        <w:t>Enumerated Variables within JSON</w:t>
      </w:r>
      <w:bookmarkEnd w:id="11"/>
    </w:p>
    <w:p w:rsidR="00E468AF" w:rsidRDefault="00CC2BA2">
      <w:r>
        <w:br/>
        <w:t xml:space="preserve">AQUATOX HMS follows the design of EPA AQUATOX 3.2 source code and uses enumerated variables extensively to maximize readability of algorithms.  </w:t>
      </w:r>
      <w:r w:rsidR="00BC0CA2">
        <w:t xml:space="preserve">Unfortunately these are converted into </w:t>
      </w:r>
      <w:r w:rsidR="0097780D">
        <w:t xml:space="preserve">integers </w:t>
      </w:r>
      <w:r w:rsidR="00BC0CA2">
        <w:t>when written to JSON which does not enhance the readability of the JSON text.  The following is a list of enumerated variables that are used and their integer values.</w:t>
      </w:r>
      <w:r w:rsidR="003E5DDE">
        <w:br/>
      </w:r>
    </w:p>
    <w:p w:rsidR="00E468AF" w:rsidRDefault="00E468AF" w:rsidP="00E468AF">
      <w:pPr>
        <w:spacing w:after="0" w:line="240" w:lineRule="auto"/>
        <w:rPr>
          <w:rFonts w:ascii="Calibri" w:eastAsia="Times New Roman" w:hAnsi="Calibri" w:cs="Times New Roman"/>
          <w:b/>
          <w:bCs/>
          <w:color w:val="000000"/>
        </w:rPr>
        <w:sectPr w:rsidR="00E468AF" w:rsidSect="00900CEA">
          <w:headerReference w:type="default" r:id="rId10"/>
          <w:footerReference w:type="default" r:id="rId11"/>
          <w:pgSz w:w="12240" w:h="15840"/>
          <w:pgMar w:top="870" w:right="1440" w:bottom="1440" w:left="1440" w:header="720" w:footer="720" w:gutter="0"/>
          <w:cols w:space="720"/>
          <w:docGrid w:linePitch="360"/>
        </w:sectPr>
      </w:pPr>
    </w:p>
    <w:tbl>
      <w:tblPr>
        <w:tblW w:w="3804" w:type="dxa"/>
        <w:tblInd w:w="93" w:type="dxa"/>
        <w:tblLook w:val="04A0" w:firstRow="1" w:lastRow="0" w:firstColumn="1" w:lastColumn="0" w:noHBand="0" w:noVBand="1"/>
      </w:tblPr>
      <w:tblGrid>
        <w:gridCol w:w="3284"/>
        <w:gridCol w:w="551"/>
      </w:tblGrid>
      <w:tr w:rsidR="00E468AF" w:rsidRPr="00E468AF" w:rsidTr="00E468AF">
        <w:trPr>
          <w:trHeight w:val="300"/>
        </w:trPr>
        <w:tc>
          <w:tcPr>
            <w:tcW w:w="3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b/>
                <w:bCs/>
                <w:color w:val="000000"/>
              </w:rPr>
            </w:pPr>
            <w:r w:rsidRPr="00E468AF">
              <w:rPr>
                <w:rFonts w:ascii="Calibri" w:eastAsia="Times New Roman" w:hAnsi="Calibri" w:cs="Times New Roman"/>
                <w:b/>
                <w:bCs/>
                <w:color w:val="000000"/>
              </w:rPr>
              <w:lastRenderedPageBreak/>
              <w:t>StreamTypes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 </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concrete_channel,</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dredged_channel,</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natural_channel</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w:t>
            </w:r>
          </w:p>
        </w:tc>
      </w:tr>
      <w:tr w:rsidR="00E468AF" w:rsidRPr="00E468AF" w:rsidTr="00E468AF">
        <w:trPr>
          <w:trHeight w:val="300"/>
        </w:trPr>
        <w:tc>
          <w:tcPr>
            <w:tcW w:w="3284" w:type="dxa"/>
            <w:tcBorders>
              <w:top w:val="nil"/>
              <w:left w:val="nil"/>
              <w:bottom w:val="nil"/>
              <w:right w:val="nil"/>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p>
        </w:tc>
        <w:tc>
          <w:tcPr>
            <w:tcW w:w="520" w:type="dxa"/>
            <w:tcBorders>
              <w:top w:val="nil"/>
              <w:left w:val="nil"/>
              <w:bottom w:val="nil"/>
              <w:right w:val="nil"/>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p>
        </w:tc>
      </w:tr>
      <w:tr w:rsidR="00E468AF" w:rsidRPr="00E468AF" w:rsidTr="00E468AF">
        <w:trPr>
          <w:trHeight w:val="300"/>
        </w:trPr>
        <w:tc>
          <w:tcPr>
            <w:tcW w:w="3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b/>
                <w:bCs/>
                <w:color w:val="000000"/>
              </w:rPr>
            </w:pPr>
            <w:r w:rsidRPr="00E468AF">
              <w:rPr>
                <w:rFonts w:ascii="Calibri" w:eastAsia="Times New Roman" w:hAnsi="Calibri" w:cs="Times New Roman"/>
                <w:b/>
                <w:bCs/>
                <w:color w:val="000000"/>
              </w:rPr>
              <w:t>SiteTypes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 </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Pond,</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Stream,</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Reservr1D,</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Lake,</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Enclosure,</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Estuary,</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TribInput,</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Marine</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w:t>
            </w:r>
          </w:p>
        </w:tc>
      </w:tr>
      <w:tr w:rsidR="00E468AF" w:rsidRPr="00E468AF" w:rsidTr="00DE61F0">
        <w:trPr>
          <w:trHeight w:val="158"/>
        </w:trPr>
        <w:tc>
          <w:tcPr>
            <w:tcW w:w="3284" w:type="dxa"/>
            <w:tcBorders>
              <w:top w:val="nil"/>
              <w:left w:val="nil"/>
              <w:bottom w:val="nil"/>
              <w:right w:val="nil"/>
            </w:tcBorders>
            <w:shd w:val="clear" w:color="auto" w:fill="auto"/>
            <w:noWrap/>
            <w:vAlign w:val="bottom"/>
            <w:hideMark/>
          </w:tcPr>
          <w:p w:rsidR="00E468AF" w:rsidRDefault="00E468AF" w:rsidP="00E468AF">
            <w:pPr>
              <w:spacing w:after="0" w:line="240" w:lineRule="auto"/>
              <w:rPr>
                <w:rFonts w:ascii="Calibri" w:eastAsia="Times New Roman" w:hAnsi="Calibri" w:cs="Times New Roman"/>
                <w:color w:val="000000"/>
              </w:rPr>
            </w:pPr>
          </w:p>
          <w:p w:rsidR="00DE61F0" w:rsidRPr="00E468AF" w:rsidRDefault="00DE61F0" w:rsidP="00E468AF">
            <w:pPr>
              <w:spacing w:after="0" w:line="240" w:lineRule="auto"/>
              <w:rPr>
                <w:rFonts w:ascii="Calibri" w:eastAsia="Times New Roman" w:hAnsi="Calibri" w:cs="Times New Roman"/>
                <w:color w:val="000000"/>
              </w:rPr>
            </w:pPr>
          </w:p>
        </w:tc>
        <w:tc>
          <w:tcPr>
            <w:tcW w:w="520" w:type="dxa"/>
            <w:tcBorders>
              <w:top w:val="nil"/>
              <w:left w:val="nil"/>
              <w:bottom w:val="nil"/>
              <w:right w:val="nil"/>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p>
        </w:tc>
      </w:tr>
      <w:tr w:rsidR="00E468AF" w:rsidRPr="00E468AF" w:rsidTr="00E468AF">
        <w:trPr>
          <w:trHeight w:val="300"/>
        </w:trPr>
        <w:tc>
          <w:tcPr>
            <w:tcW w:w="3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b/>
                <w:bCs/>
                <w:color w:val="000000"/>
              </w:rPr>
            </w:pPr>
            <w:r w:rsidRPr="00E468AF">
              <w:rPr>
                <w:rFonts w:ascii="Calibri" w:eastAsia="Times New Roman" w:hAnsi="Calibri" w:cs="Times New Roman"/>
                <w:b/>
                <w:bCs/>
                <w:color w:val="000000"/>
              </w:rPr>
              <w:t>AllVariables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 </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H2OTox,</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H2OTox2..20 deprecated</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915EC1">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w:t>
            </w:r>
            <w:r w:rsidR="00915EC1">
              <w:rPr>
                <w:rFonts w:ascii="Calibri" w:eastAsia="Times New Roman" w:hAnsi="Calibri" w:cs="Times New Roman"/>
                <w:color w:val="000000"/>
              </w:rPr>
              <w:t>-</w:t>
            </w:r>
            <w:r w:rsidRPr="00E468AF">
              <w:rPr>
                <w:rFonts w:ascii="Calibri" w:eastAsia="Times New Roman" w:hAnsi="Calibri" w:cs="Times New Roman"/>
                <w:color w:val="000000"/>
              </w:rPr>
              <w:t>19</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Ammonia,</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Nitrate,</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Phosphate,</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22</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lastRenderedPageBreak/>
              <w:t>CO2,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23</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Oxygen,</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24</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PoreWater,</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25</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ReDOMPore,</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26</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LaDOMPore,</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27</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Sand,</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28</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Silt,</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29</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Clay,</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TSS,</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Silica,</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32</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Avail_Silica,</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33</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COD,</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34</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TAM,</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35</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Methane,</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36</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Sulfide,</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37</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POC_G1,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38</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POC_G2,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39</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POC_G3,</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PON_G1,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PON_G2,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42</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PON_G3,</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43</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POP_G1,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44</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POP_G2,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45</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lastRenderedPageBreak/>
              <w:t>POP_G3,</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46</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Cohesives,</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47</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NonCohesives,</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48</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NonCohesives2,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49</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Salinity,</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SedmRefrDetr,</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SedmLabDetr,</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52</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DissRefrDetr,</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53</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DissLabDetr,</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54</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SuspRefrDetr,</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55</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SuspLabDetr,</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56</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BuriedRefrDetr,</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57</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BuriedLabileDetr,</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58</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Diatoms1,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59</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Diatoms2,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Diatoms3,</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Diatoms4,</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62</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Diatoms5,</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63</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Diatoms6,</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64</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Greens1,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65</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Greens2,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66</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Greens3,</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67</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Greens4,</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68</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Greens5,</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69</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Greens6,</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BlGreens1,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BlGreens2,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72</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BlGreens3,</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73</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BlGreens4,</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74</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BlGreens5,</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75</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BlGreens6,</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76</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OtherAlg1,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77</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OtherAlg2,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78</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Macrophytes1,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79</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Macrophytes2,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Macrophytes3,</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Macrophytes4,</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82</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Macrophytes5,</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83</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Macrophytes6,</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84</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SuspFeeder1,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85</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SuspFeeder2,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86</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SuspFeeder3,</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87</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lastRenderedPageBreak/>
              <w:t>SuspFeeder4,</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88</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SuspFeeder5,</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89</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SuspFeeder6,</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SuspFeeder7,</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SuspFeeder8,</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92</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SuspFeeder9,</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93</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DepFeeder1,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94</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DepFeeder2,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95</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DepFeeder3,</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96</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Veliger1,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97</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Veliger2,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98</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Spat1,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99</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Spat2,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Clams1,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Clams2,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102</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Clams3,</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103</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Clams4,</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104</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Snail1,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105</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Snail2,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106</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SmallPI1,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107</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SmallPI2,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108</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PredInvt1,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109</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PredInvt2,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PredInvt3,</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PredInvt4,</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112</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SmForageFish1,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113</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SmForageFish2,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114</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LgForageFish1,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115</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LgForageFish2,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116</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SmBottomFish1,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117</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SmBottomFish2,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118</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LgBottomFish1,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119</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LgBottomFish2,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SmGameFish1,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SmGameFish2,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122</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SmGameFish3,</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123</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SmGameFish4,</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124</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LgGameFish1,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125</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LgGameFish2,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126</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LgGameFish3,</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127</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LgGameFish4,</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128</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129</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lastRenderedPageBreak/>
              <w:t>Fish2,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Fish3,</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Fish4,</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132</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Fish5,</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133</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Fish6,</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134</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Fish7,</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135</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Fish8,</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136</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Fish9,</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137</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Fish10,</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138</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Fish11,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139</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Fish12,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Fish13,</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Fish14,</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142</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Fish15,</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143</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Volume,</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144</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Temperature,</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145</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WindLoading,</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146</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Light,</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147</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pH,</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148</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NullStateVar</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149</w:t>
            </w:r>
          </w:p>
        </w:tc>
      </w:tr>
      <w:tr w:rsidR="00E468AF" w:rsidRPr="00E468AF" w:rsidTr="00E468AF">
        <w:trPr>
          <w:trHeight w:val="300"/>
        </w:trPr>
        <w:tc>
          <w:tcPr>
            <w:tcW w:w="3284" w:type="dxa"/>
            <w:tcBorders>
              <w:top w:val="nil"/>
              <w:left w:val="nil"/>
              <w:bottom w:val="nil"/>
              <w:right w:val="nil"/>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p>
        </w:tc>
        <w:tc>
          <w:tcPr>
            <w:tcW w:w="520" w:type="dxa"/>
            <w:tcBorders>
              <w:top w:val="nil"/>
              <w:left w:val="nil"/>
              <w:bottom w:val="nil"/>
              <w:right w:val="nil"/>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p>
        </w:tc>
      </w:tr>
      <w:tr w:rsidR="00E468AF" w:rsidRPr="00E468AF" w:rsidTr="00E468AF">
        <w:trPr>
          <w:trHeight w:val="300"/>
        </w:trPr>
        <w:tc>
          <w:tcPr>
            <w:tcW w:w="3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b/>
                <w:bCs/>
                <w:color w:val="000000"/>
              </w:rPr>
            </w:pPr>
            <w:r w:rsidRPr="00E468AF">
              <w:rPr>
                <w:rFonts w:ascii="Calibri" w:eastAsia="Times New Roman" w:hAnsi="Calibri" w:cs="Times New Roman"/>
                <w:b/>
                <w:bCs/>
                <w:color w:val="000000"/>
              </w:rPr>
              <w:t>T_SVType</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 </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StV,</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Porewaters,</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OrgTox3,</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4</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OrgTox4,</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5</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OrgTox5,</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6</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OrgTox6,</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7</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OrgTox7,</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8</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OrgTox8,</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9</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lastRenderedPageBreak/>
              <w:t>OrgTox9,</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OrgTox10,</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12</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13</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OrgTox13,</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14</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OrgTox14,</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15</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OrgTox15,</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16</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OrgTox16,</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17</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OrgTox17,</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18</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OrgTox18,</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19</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OrgTox19,</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OrgTox20,</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NTrack,</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22</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PTrack</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23</w:t>
            </w:r>
          </w:p>
        </w:tc>
      </w:tr>
      <w:tr w:rsidR="00E468AF" w:rsidRPr="00E468AF" w:rsidTr="00E468AF">
        <w:trPr>
          <w:trHeight w:val="300"/>
        </w:trPr>
        <w:tc>
          <w:tcPr>
            <w:tcW w:w="3284" w:type="dxa"/>
            <w:tcBorders>
              <w:top w:val="nil"/>
              <w:left w:val="nil"/>
              <w:bottom w:val="nil"/>
              <w:right w:val="nil"/>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p>
        </w:tc>
        <w:tc>
          <w:tcPr>
            <w:tcW w:w="520" w:type="dxa"/>
            <w:tcBorders>
              <w:top w:val="nil"/>
              <w:left w:val="nil"/>
              <w:bottom w:val="nil"/>
              <w:right w:val="nil"/>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p>
        </w:tc>
      </w:tr>
      <w:tr w:rsidR="00E468AF" w:rsidRPr="00E468AF" w:rsidTr="00E468AF">
        <w:trPr>
          <w:trHeight w:val="300"/>
        </w:trPr>
        <w:tc>
          <w:tcPr>
            <w:tcW w:w="3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b/>
                <w:bCs/>
                <w:color w:val="000000"/>
              </w:rPr>
            </w:pPr>
            <w:r w:rsidRPr="00E468AF">
              <w:rPr>
                <w:rFonts w:ascii="Calibri" w:eastAsia="Times New Roman" w:hAnsi="Calibri" w:cs="Times New Roman"/>
                <w:b/>
                <w:bCs/>
                <w:color w:val="000000"/>
              </w:rPr>
              <w:t>T_SVLayer</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 </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WaterCol,</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SedLayer1,</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SedLayer2,</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w:t>
            </w:r>
          </w:p>
        </w:tc>
      </w:tr>
      <w:tr w:rsidR="00E468AF" w:rsidRPr="00E468AF" w:rsidTr="00E468AF">
        <w:trPr>
          <w:trHeight w:val="300"/>
        </w:trPr>
        <w:tc>
          <w:tcPr>
            <w:tcW w:w="3284" w:type="dxa"/>
            <w:tcBorders>
              <w:top w:val="nil"/>
              <w:left w:val="nil"/>
              <w:bottom w:val="nil"/>
              <w:right w:val="nil"/>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p>
        </w:tc>
        <w:tc>
          <w:tcPr>
            <w:tcW w:w="520" w:type="dxa"/>
            <w:tcBorders>
              <w:top w:val="nil"/>
              <w:left w:val="nil"/>
              <w:bottom w:val="nil"/>
              <w:right w:val="nil"/>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p>
        </w:tc>
      </w:tr>
      <w:tr w:rsidR="00E468AF" w:rsidRPr="00E468AF" w:rsidTr="00E468AF">
        <w:trPr>
          <w:trHeight w:val="300"/>
        </w:trPr>
        <w:tc>
          <w:tcPr>
            <w:tcW w:w="3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b/>
                <w:bCs/>
                <w:color w:val="000000"/>
              </w:rPr>
            </w:pPr>
            <w:r w:rsidRPr="00E468AF">
              <w:rPr>
                <w:rFonts w:ascii="Calibri" w:eastAsia="Times New Roman" w:hAnsi="Calibri" w:cs="Times New Roman"/>
                <w:b/>
                <w:bCs/>
                <w:color w:val="000000"/>
              </w:rPr>
              <w:t>VolumeMethType</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 </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Manning,</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KeepConst,</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 xml:space="preserve">Dynam, </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KnownVal</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3</w:t>
            </w:r>
          </w:p>
        </w:tc>
      </w:tr>
      <w:tr w:rsidR="00E468AF" w:rsidRPr="00E468AF" w:rsidTr="00E468AF">
        <w:trPr>
          <w:trHeight w:val="300"/>
        </w:trPr>
        <w:tc>
          <w:tcPr>
            <w:tcW w:w="3284" w:type="dxa"/>
            <w:tcBorders>
              <w:top w:val="nil"/>
              <w:left w:val="nil"/>
              <w:bottom w:val="nil"/>
              <w:right w:val="nil"/>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p>
        </w:tc>
        <w:tc>
          <w:tcPr>
            <w:tcW w:w="520" w:type="dxa"/>
            <w:tcBorders>
              <w:top w:val="nil"/>
              <w:left w:val="nil"/>
              <w:bottom w:val="nil"/>
              <w:right w:val="nil"/>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p>
        </w:tc>
      </w:tr>
      <w:tr w:rsidR="00E468AF" w:rsidRPr="00E468AF" w:rsidTr="00E468AF">
        <w:trPr>
          <w:trHeight w:val="300"/>
        </w:trPr>
        <w:tc>
          <w:tcPr>
            <w:tcW w:w="32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b/>
                <w:bCs/>
                <w:color w:val="000000"/>
              </w:rPr>
            </w:pPr>
            <w:r w:rsidRPr="00E468AF">
              <w:rPr>
                <w:rFonts w:ascii="Calibri" w:eastAsia="Times New Roman" w:hAnsi="Calibri" w:cs="Times New Roman"/>
                <w:b/>
                <w:bCs/>
                <w:color w:val="000000"/>
              </w:rPr>
              <w:t>Alt_LoadingsType Integer</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 </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PointSource,  or Inflow(TVolume)</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0</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DirectPrecip, or Discharge(TVolume)</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1</w:t>
            </w:r>
          </w:p>
        </w:tc>
      </w:tr>
      <w:tr w:rsidR="00E468AF" w:rsidRPr="00E468AF" w:rsidTr="00E468AF">
        <w:trPr>
          <w:trHeight w:val="300"/>
        </w:trPr>
        <w:tc>
          <w:tcPr>
            <w:tcW w:w="3284" w:type="dxa"/>
            <w:tcBorders>
              <w:top w:val="nil"/>
              <w:left w:val="single" w:sz="4" w:space="0" w:color="auto"/>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rPr>
                <w:rFonts w:ascii="Calibri" w:eastAsia="Times New Roman" w:hAnsi="Calibri" w:cs="Times New Roman"/>
                <w:color w:val="000000"/>
              </w:rPr>
            </w:pPr>
            <w:r w:rsidRPr="00E468AF">
              <w:rPr>
                <w:rFonts w:ascii="Calibri" w:eastAsia="Times New Roman" w:hAnsi="Calibri" w:cs="Times New Roman"/>
                <w:color w:val="000000"/>
              </w:rPr>
              <w:t xml:space="preserve"> NonPointSource</w:t>
            </w:r>
          </w:p>
        </w:tc>
        <w:tc>
          <w:tcPr>
            <w:tcW w:w="520" w:type="dxa"/>
            <w:tcBorders>
              <w:top w:val="nil"/>
              <w:left w:val="nil"/>
              <w:bottom w:val="single" w:sz="4" w:space="0" w:color="auto"/>
              <w:right w:val="single" w:sz="4" w:space="0" w:color="auto"/>
            </w:tcBorders>
            <w:shd w:val="clear" w:color="auto" w:fill="auto"/>
            <w:noWrap/>
            <w:vAlign w:val="bottom"/>
            <w:hideMark/>
          </w:tcPr>
          <w:p w:rsidR="00E468AF" w:rsidRPr="00E468AF" w:rsidRDefault="00E468AF" w:rsidP="00E468AF">
            <w:pPr>
              <w:spacing w:after="0" w:line="240" w:lineRule="auto"/>
              <w:jc w:val="center"/>
              <w:rPr>
                <w:rFonts w:ascii="Calibri" w:eastAsia="Times New Roman" w:hAnsi="Calibri" w:cs="Times New Roman"/>
                <w:color w:val="000000"/>
              </w:rPr>
            </w:pPr>
            <w:r w:rsidRPr="00E468AF">
              <w:rPr>
                <w:rFonts w:ascii="Calibri" w:eastAsia="Times New Roman" w:hAnsi="Calibri" w:cs="Times New Roman"/>
                <w:color w:val="000000"/>
              </w:rPr>
              <w:t>2</w:t>
            </w:r>
          </w:p>
        </w:tc>
      </w:tr>
    </w:tbl>
    <w:p w:rsidR="00E468AF" w:rsidRDefault="00E468AF">
      <w:pPr>
        <w:sectPr w:rsidR="00E468AF" w:rsidSect="00E468AF">
          <w:type w:val="continuous"/>
          <w:pgSz w:w="12240" w:h="15840"/>
          <w:pgMar w:top="870" w:right="1440" w:bottom="1440" w:left="1440" w:header="720" w:footer="720" w:gutter="0"/>
          <w:cols w:num="2" w:space="720"/>
          <w:docGrid w:linePitch="360"/>
        </w:sectPr>
      </w:pPr>
    </w:p>
    <w:p w:rsidR="00074E6D" w:rsidRPr="00074E6D" w:rsidRDefault="00074E6D" w:rsidP="00074E6D"/>
    <w:sectPr w:rsidR="00074E6D" w:rsidRPr="00074E6D" w:rsidSect="00E468AF">
      <w:type w:val="continuous"/>
      <w:pgSz w:w="12240" w:h="15840"/>
      <w:pgMar w:top="8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4F6" w:rsidRDefault="005B24F6" w:rsidP="0002237E">
      <w:pPr>
        <w:spacing w:after="0" w:line="240" w:lineRule="auto"/>
      </w:pPr>
      <w:r>
        <w:separator/>
      </w:r>
    </w:p>
  </w:endnote>
  <w:endnote w:type="continuationSeparator" w:id="0">
    <w:p w:rsidR="005B24F6" w:rsidRDefault="005B24F6" w:rsidP="00022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03815"/>
      <w:docPartObj>
        <w:docPartGallery w:val="Page Numbers (Bottom of Page)"/>
        <w:docPartUnique/>
      </w:docPartObj>
    </w:sdtPr>
    <w:sdtEndPr>
      <w:rPr>
        <w:noProof/>
      </w:rPr>
    </w:sdtEndPr>
    <w:sdtContent>
      <w:p w:rsidR="00F63685" w:rsidRDefault="00F63685">
        <w:pPr>
          <w:pStyle w:val="Footer"/>
          <w:jc w:val="center"/>
        </w:pPr>
        <w:r>
          <w:fldChar w:fldCharType="begin"/>
        </w:r>
        <w:r>
          <w:instrText xml:space="preserve"> PAGE   \* MERGEFORMAT </w:instrText>
        </w:r>
        <w:r>
          <w:fldChar w:fldCharType="separate"/>
        </w:r>
        <w:r w:rsidR="00F65DF5">
          <w:rPr>
            <w:noProof/>
          </w:rPr>
          <w:t>13</w:t>
        </w:r>
        <w:r>
          <w:rPr>
            <w:noProof/>
          </w:rPr>
          <w:fldChar w:fldCharType="end"/>
        </w:r>
      </w:p>
    </w:sdtContent>
  </w:sdt>
  <w:p w:rsidR="00F63685" w:rsidRDefault="00F636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4F6" w:rsidRDefault="005B24F6" w:rsidP="0002237E">
      <w:pPr>
        <w:spacing w:after="0" w:line="240" w:lineRule="auto"/>
      </w:pPr>
      <w:r>
        <w:separator/>
      </w:r>
    </w:p>
  </w:footnote>
  <w:footnote w:type="continuationSeparator" w:id="0">
    <w:p w:rsidR="005B24F6" w:rsidRDefault="005B24F6" w:rsidP="00022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685" w:rsidRDefault="00F63685" w:rsidP="00E468AF">
    <w:r>
      <w:t>AQUATOX JSON Structure Documentation</w:t>
    </w:r>
    <w:r>
      <w:tab/>
    </w:r>
    <w:r>
      <w:tab/>
    </w:r>
    <w:r>
      <w:tab/>
    </w:r>
    <w:r>
      <w:tab/>
    </w:r>
    <w:r>
      <w:tab/>
      <w:t xml:space="preserve">       Draft August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13448"/>
    <w:multiLevelType w:val="hybridMultilevel"/>
    <w:tmpl w:val="B71E74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EE7BCF"/>
    <w:multiLevelType w:val="hybridMultilevel"/>
    <w:tmpl w:val="F83E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9E06FC"/>
    <w:multiLevelType w:val="hybridMultilevel"/>
    <w:tmpl w:val="38E2B4F8"/>
    <w:lvl w:ilvl="0" w:tplc="4962872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E94016"/>
    <w:multiLevelType w:val="hybridMultilevel"/>
    <w:tmpl w:val="7FEE63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A065694"/>
    <w:multiLevelType w:val="hybridMultilevel"/>
    <w:tmpl w:val="53D46EFE"/>
    <w:lvl w:ilvl="0" w:tplc="8486ADB2">
      <w:start w:val="1"/>
      <w:numFmt w:val="bullet"/>
      <w:lvlText w:val="•"/>
      <w:lvlJc w:val="left"/>
      <w:pPr>
        <w:tabs>
          <w:tab w:val="num" w:pos="720"/>
        </w:tabs>
        <w:ind w:left="720" w:hanging="360"/>
      </w:pPr>
      <w:rPr>
        <w:rFonts w:ascii="Times New Roman" w:hAnsi="Times New Roman" w:hint="default"/>
      </w:rPr>
    </w:lvl>
    <w:lvl w:ilvl="1" w:tplc="292A756C">
      <w:start w:val="26"/>
      <w:numFmt w:val="bullet"/>
      <w:lvlText w:val="–"/>
      <w:lvlJc w:val="left"/>
      <w:pPr>
        <w:tabs>
          <w:tab w:val="num" w:pos="1440"/>
        </w:tabs>
        <w:ind w:left="1440" w:hanging="360"/>
      </w:pPr>
      <w:rPr>
        <w:rFonts w:ascii="Times New Roman" w:hAnsi="Times New Roman" w:hint="default"/>
      </w:rPr>
    </w:lvl>
    <w:lvl w:ilvl="2" w:tplc="22AEB948" w:tentative="1">
      <w:start w:val="1"/>
      <w:numFmt w:val="bullet"/>
      <w:lvlText w:val="•"/>
      <w:lvlJc w:val="left"/>
      <w:pPr>
        <w:tabs>
          <w:tab w:val="num" w:pos="2160"/>
        </w:tabs>
        <w:ind w:left="2160" w:hanging="360"/>
      </w:pPr>
      <w:rPr>
        <w:rFonts w:ascii="Times New Roman" w:hAnsi="Times New Roman" w:hint="default"/>
      </w:rPr>
    </w:lvl>
    <w:lvl w:ilvl="3" w:tplc="7ABE51BE" w:tentative="1">
      <w:start w:val="1"/>
      <w:numFmt w:val="bullet"/>
      <w:lvlText w:val="•"/>
      <w:lvlJc w:val="left"/>
      <w:pPr>
        <w:tabs>
          <w:tab w:val="num" w:pos="2880"/>
        </w:tabs>
        <w:ind w:left="2880" w:hanging="360"/>
      </w:pPr>
      <w:rPr>
        <w:rFonts w:ascii="Times New Roman" w:hAnsi="Times New Roman" w:hint="default"/>
      </w:rPr>
    </w:lvl>
    <w:lvl w:ilvl="4" w:tplc="62DAB300" w:tentative="1">
      <w:start w:val="1"/>
      <w:numFmt w:val="bullet"/>
      <w:lvlText w:val="•"/>
      <w:lvlJc w:val="left"/>
      <w:pPr>
        <w:tabs>
          <w:tab w:val="num" w:pos="3600"/>
        </w:tabs>
        <w:ind w:left="3600" w:hanging="360"/>
      </w:pPr>
      <w:rPr>
        <w:rFonts w:ascii="Times New Roman" w:hAnsi="Times New Roman" w:hint="default"/>
      </w:rPr>
    </w:lvl>
    <w:lvl w:ilvl="5" w:tplc="7A6861F0" w:tentative="1">
      <w:start w:val="1"/>
      <w:numFmt w:val="bullet"/>
      <w:lvlText w:val="•"/>
      <w:lvlJc w:val="left"/>
      <w:pPr>
        <w:tabs>
          <w:tab w:val="num" w:pos="4320"/>
        </w:tabs>
        <w:ind w:left="4320" w:hanging="360"/>
      </w:pPr>
      <w:rPr>
        <w:rFonts w:ascii="Times New Roman" w:hAnsi="Times New Roman" w:hint="default"/>
      </w:rPr>
    </w:lvl>
    <w:lvl w:ilvl="6" w:tplc="A952223E" w:tentative="1">
      <w:start w:val="1"/>
      <w:numFmt w:val="bullet"/>
      <w:lvlText w:val="•"/>
      <w:lvlJc w:val="left"/>
      <w:pPr>
        <w:tabs>
          <w:tab w:val="num" w:pos="5040"/>
        </w:tabs>
        <w:ind w:left="5040" w:hanging="360"/>
      </w:pPr>
      <w:rPr>
        <w:rFonts w:ascii="Times New Roman" w:hAnsi="Times New Roman" w:hint="default"/>
      </w:rPr>
    </w:lvl>
    <w:lvl w:ilvl="7" w:tplc="EFE8383C" w:tentative="1">
      <w:start w:val="1"/>
      <w:numFmt w:val="bullet"/>
      <w:lvlText w:val="•"/>
      <w:lvlJc w:val="left"/>
      <w:pPr>
        <w:tabs>
          <w:tab w:val="num" w:pos="5760"/>
        </w:tabs>
        <w:ind w:left="5760" w:hanging="360"/>
      </w:pPr>
      <w:rPr>
        <w:rFonts w:ascii="Times New Roman" w:hAnsi="Times New Roman" w:hint="default"/>
      </w:rPr>
    </w:lvl>
    <w:lvl w:ilvl="8" w:tplc="C35AE424" w:tentative="1">
      <w:start w:val="1"/>
      <w:numFmt w:val="bullet"/>
      <w:lvlText w:val="•"/>
      <w:lvlJc w:val="left"/>
      <w:pPr>
        <w:tabs>
          <w:tab w:val="num" w:pos="6480"/>
        </w:tabs>
        <w:ind w:left="6480" w:hanging="360"/>
      </w:pPr>
      <w:rPr>
        <w:rFonts w:ascii="Times New Roman" w:hAnsi="Times New Roman" w:hint="default"/>
      </w:rPr>
    </w:lvl>
  </w:abstractNum>
  <w:abstractNum w:abstractNumId="5">
    <w:nsid w:val="5DA9699B"/>
    <w:multiLevelType w:val="hybridMultilevel"/>
    <w:tmpl w:val="6D74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05A34"/>
    <w:multiLevelType w:val="hybridMultilevel"/>
    <w:tmpl w:val="67D2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F76078"/>
    <w:multiLevelType w:val="hybridMultilevel"/>
    <w:tmpl w:val="367CC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7C5436"/>
    <w:multiLevelType w:val="hybridMultilevel"/>
    <w:tmpl w:val="EA2E6EB6"/>
    <w:lvl w:ilvl="0" w:tplc="8486ADB2">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4"/>
  </w:num>
  <w:num w:numId="6">
    <w:abstractNumId w:val="8"/>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7F0"/>
    <w:rsid w:val="00002D40"/>
    <w:rsid w:val="000038A8"/>
    <w:rsid w:val="00005082"/>
    <w:rsid w:val="0002237E"/>
    <w:rsid w:val="00061F55"/>
    <w:rsid w:val="00074E6D"/>
    <w:rsid w:val="00091E95"/>
    <w:rsid w:val="000C1FF8"/>
    <w:rsid w:val="000F3FDA"/>
    <w:rsid w:val="00105979"/>
    <w:rsid w:val="0016338C"/>
    <w:rsid w:val="001917F0"/>
    <w:rsid w:val="00193D43"/>
    <w:rsid w:val="001A277C"/>
    <w:rsid w:val="001B0975"/>
    <w:rsid w:val="001B6923"/>
    <w:rsid w:val="001F407F"/>
    <w:rsid w:val="001F5F8D"/>
    <w:rsid w:val="0022655F"/>
    <w:rsid w:val="002F485D"/>
    <w:rsid w:val="002F535B"/>
    <w:rsid w:val="00333704"/>
    <w:rsid w:val="00386BF5"/>
    <w:rsid w:val="003E5DDE"/>
    <w:rsid w:val="00415DEE"/>
    <w:rsid w:val="00457A75"/>
    <w:rsid w:val="00473362"/>
    <w:rsid w:val="00484076"/>
    <w:rsid w:val="004A2CB7"/>
    <w:rsid w:val="00511DDE"/>
    <w:rsid w:val="0054746B"/>
    <w:rsid w:val="00574447"/>
    <w:rsid w:val="00580333"/>
    <w:rsid w:val="005B24F6"/>
    <w:rsid w:val="005C1472"/>
    <w:rsid w:val="005D684E"/>
    <w:rsid w:val="005D72AE"/>
    <w:rsid w:val="00642EA9"/>
    <w:rsid w:val="00644469"/>
    <w:rsid w:val="00690AF1"/>
    <w:rsid w:val="006E74B5"/>
    <w:rsid w:val="0078718B"/>
    <w:rsid w:val="007C74A4"/>
    <w:rsid w:val="00820383"/>
    <w:rsid w:val="00826E3E"/>
    <w:rsid w:val="00892CF1"/>
    <w:rsid w:val="008D5FBF"/>
    <w:rsid w:val="00900CEA"/>
    <w:rsid w:val="00912FAE"/>
    <w:rsid w:val="00915EC1"/>
    <w:rsid w:val="0097780D"/>
    <w:rsid w:val="009B3874"/>
    <w:rsid w:val="00A405FB"/>
    <w:rsid w:val="00A76649"/>
    <w:rsid w:val="00A776B4"/>
    <w:rsid w:val="00A92C74"/>
    <w:rsid w:val="00A97EE3"/>
    <w:rsid w:val="00AA2F63"/>
    <w:rsid w:val="00AA6883"/>
    <w:rsid w:val="00B15632"/>
    <w:rsid w:val="00B15C88"/>
    <w:rsid w:val="00B46314"/>
    <w:rsid w:val="00B65B22"/>
    <w:rsid w:val="00B72BD0"/>
    <w:rsid w:val="00B92022"/>
    <w:rsid w:val="00BC0CA2"/>
    <w:rsid w:val="00BD7906"/>
    <w:rsid w:val="00CA0104"/>
    <w:rsid w:val="00CB393A"/>
    <w:rsid w:val="00CC2BA2"/>
    <w:rsid w:val="00D504BA"/>
    <w:rsid w:val="00D76CEE"/>
    <w:rsid w:val="00DE61F0"/>
    <w:rsid w:val="00E37C2F"/>
    <w:rsid w:val="00E468AF"/>
    <w:rsid w:val="00E51762"/>
    <w:rsid w:val="00E65A2B"/>
    <w:rsid w:val="00EB3FBD"/>
    <w:rsid w:val="00EC30F3"/>
    <w:rsid w:val="00EC3CD1"/>
    <w:rsid w:val="00EF0C2F"/>
    <w:rsid w:val="00F1690E"/>
    <w:rsid w:val="00F17031"/>
    <w:rsid w:val="00F25250"/>
    <w:rsid w:val="00F349A6"/>
    <w:rsid w:val="00F57C45"/>
    <w:rsid w:val="00F63685"/>
    <w:rsid w:val="00F65DF5"/>
    <w:rsid w:val="00FA11C7"/>
    <w:rsid w:val="00FA19E3"/>
    <w:rsid w:val="00FD344A"/>
    <w:rsid w:val="00FF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23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7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7F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22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37E"/>
    <w:rPr>
      <w:rFonts w:ascii="Tahoma" w:hAnsi="Tahoma" w:cs="Tahoma"/>
      <w:sz w:val="16"/>
      <w:szCs w:val="16"/>
    </w:rPr>
  </w:style>
  <w:style w:type="paragraph" w:styleId="Header">
    <w:name w:val="header"/>
    <w:basedOn w:val="Normal"/>
    <w:link w:val="HeaderChar"/>
    <w:uiPriority w:val="99"/>
    <w:unhideWhenUsed/>
    <w:rsid w:val="00022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37E"/>
  </w:style>
  <w:style w:type="paragraph" w:styleId="Footer">
    <w:name w:val="footer"/>
    <w:basedOn w:val="Normal"/>
    <w:link w:val="FooterChar"/>
    <w:uiPriority w:val="99"/>
    <w:unhideWhenUsed/>
    <w:rsid w:val="00022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37E"/>
  </w:style>
  <w:style w:type="character" w:customStyle="1" w:styleId="Heading3Char">
    <w:name w:val="Heading 3 Char"/>
    <w:basedOn w:val="DefaultParagraphFont"/>
    <w:link w:val="Heading3"/>
    <w:uiPriority w:val="9"/>
    <w:rsid w:val="0002237E"/>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091E95"/>
    <w:pPr>
      <w:spacing w:line="240" w:lineRule="auto"/>
    </w:pPr>
    <w:rPr>
      <w:b/>
      <w:bCs/>
      <w:sz w:val="18"/>
      <w:szCs w:val="18"/>
    </w:rPr>
  </w:style>
  <w:style w:type="paragraph" w:styleId="ListParagraph">
    <w:name w:val="List Paragraph"/>
    <w:basedOn w:val="Normal"/>
    <w:uiPriority w:val="34"/>
    <w:qFormat/>
    <w:rsid w:val="001F407F"/>
    <w:pPr>
      <w:ind w:left="720"/>
      <w:contextualSpacing/>
    </w:pPr>
  </w:style>
  <w:style w:type="paragraph" w:styleId="TOCHeading">
    <w:name w:val="TOC Heading"/>
    <w:basedOn w:val="Heading1"/>
    <w:next w:val="Normal"/>
    <w:uiPriority w:val="39"/>
    <w:semiHidden/>
    <w:unhideWhenUsed/>
    <w:qFormat/>
    <w:rsid w:val="00D76CEE"/>
    <w:pPr>
      <w:outlineLvl w:val="9"/>
    </w:pPr>
    <w:rPr>
      <w:lang w:eastAsia="ja-JP"/>
    </w:rPr>
  </w:style>
  <w:style w:type="paragraph" w:styleId="TOC1">
    <w:name w:val="toc 1"/>
    <w:basedOn w:val="Normal"/>
    <w:next w:val="Normal"/>
    <w:autoRedefine/>
    <w:uiPriority w:val="39"/>
    <w:unhideWhenUsed/>
    <w:rsid w:val="00D76CEE"/>
    <w:pPr>
      <w:spacing w:after="100"/>
    </w:pPr>
  </w:style>
  <w:style w:type="paragraph" w:styleId="TOC2">
    <w:name w:val="toc 2"/>
    <w:basedOn w:val="Normal"/>
    <w:next w:val="Normal"/>
    <w:autoRedefine/>
    <w:uiPriority w:val="39"/>
    <w:unhideWhenUsed/>
    <w:rsid w:val="00D76CEE"/>
    <w:pPr>
      <w:spacing w:after="100"/>
      <w:ind w:left="220"/>
    </w:pPr>
  </w:style>
  <w:style w:type="character" w:styleId="Hyperlink">
    <w:name w:val="Hyperlink"/>
    <w:basedOn w:val="DefaultParagraphFont"/>
    <w:uiPriority w:val="99"/>
    <w:unhideWhenUsed/>
    <w:rsid w:val="00D76C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1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1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23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7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917F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22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37E"/>
    <w:rPr>
      <w:rFonts w:ascii="Tahoma" w:hAnsi="Tahoma" w:cs="Tahoma"/>
      <w:sz w:val="16"/>
      <w:szCs w:val="16"/>
    </w:rPr>
  </w:style>
  <w:style w:type="paragraph" w:styleId="Header">
    <w:name w:val="header"/>
    <w:basedOn w:val="Normal"/>
    <w:link w:val="HeaderChar"/>
    <w:uiPriority w:val="99"/>
    <w:unhideWhenUsed/>
    <w:rsid w:val="00022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37E"/>
  </w:style>
  <w:style w:type="paragraph" w:styleId="Footer">
    <w:name w:val="footer"/>
    <w:basedOn w:val="Normal"/>
    <w:link w:val="FooterChar"/>
    <w:uiPriority w:val="99"/>
    <w:unhideWhenUsed/>
    <w:rsid w:val="00022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37E"/>
  </w:style>
  <w:style w:type="character" w:customStyle="1" w:styleId="Heading3Char">
    <w:name w:val="Heading 3 Char"/>
    <w:basedOn w:val="DefaultParagraphFont"/>
    <w:link w:val="Heading3"/>
    <w:uiPriority w:val="9"/>
    <w:rsid w:val="0002237E"/>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091E95"/>
    <w:pPr>
      <w:spacing w:line="240" w:lineRule="auto"/>
    </w:pPr>
    <w:rPr>
      <w:b/>
      <w:bCs/>
      <w:sz w:val="18"/>
      <w:szCs w:val="18"/>
    </w:rPr>
  </w:style>
  <w:style w:type="paragraph" w:styleId="ListParagraph">
    <w:name w:val="List Paragraph"/>
    <w:basedOn w:val="Normal"/>
    <w:uiPriority w:val="34"/>
    <w:qFormat/>
    <w:rsid w:val="001F407F"/>
    <w:pPr>
      <w:ind w:left="720"/>
      <w:contextualSpacing/>
    </w:pPr>
  </w:style>
  <w:style w:type="paragraph" w:styleId="TOCHeading">
    <w:name w:val="TOC Heading"/>
    <w:basedOn w:val="Heading1"/>
    <w:next w:val="Normal"/>
    <w:uiPriority w:val="39"/>
    <w:semiHidden/>
    <w:unhideWhenUsed/>
    <w:qFormat/>
    <w:rsid w:val="00D76CEE"/>
    <w:pPr>
      <w:outlineLvl w:val="9"/>
    </w:pPr>
    <w:rPr>
      <w:lang w:eastAsia="ja-JP"/>
    </w:rPr>
  </w:style>
  <w:style w:type="paragraph" w:styleId="TOC1">
    <w:name w:val="toc 1"/>
    <w:basedOn w:val="Normal"/>
    <w:next w:val="Normal"/>
    <w:autoRedefine/>
    <w:uiPriority w:val="39"/>
    <w:unhideWhenUsed/>
    <w:rsid w:val="00D76CEE"/>
    <w:pPr>
      <w:spacing w:after="100"/>
    </w:pPr>
  </w:style>
  <w:style w:type="paragraph" w:styleId="TOC2">
    <w:name w:val="toc 2"/>
    <w:basedOn w:val="Normal"/>
    <w:next w:val="Normal"/>
    <w:autoRedefine/>
    <w:uiPriority w:val="39"/>
    <w:unhideWhenUsed/>
    <w:rsid w:val="00D76CEE"/>
    <w:pPr>
      <w:spacing w:after="100"/>
      <w:ind w:left="220"/>
    </w:pPr>
  </w:style>
  <w:style w:type="character" w:styleId="Hyperlink">
    <w:name w:val="Hyperlink"/>
    <w:basedOn w:val="DefaultParagraphFont"/>
    <w:uiPriority w:val="99"/>
    <w:unhideWhenUsed/>
    <w:rsid w:val="00D76C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72733">
      <w:bodyDiv w:val="1"/>
      <w:marLeft w:val="0"/>
      <w:marRight w:val="0"/>
      <w:marTop w:val="0"/>
      <w:marBottom w:val="0"/>
      <w:divBdr>
        <w:top w:val="none" w:sz="0" w:space="0" w:color="auto"/>
        <w:left w:val="none" w:sz="0" w:space="0" w:color="auto"/>
        <w:bottom w:val="none" w:sz="0" w:space="0" w:color="auto"/>
        <w:right w:val="none" w:sz="0" w:space="0" w:color="auto"/>
      </w:divBdr>
    </w:div>
    <w:div w:id="147787405">
      <w:bodyDiv w:val="1"/>
      <w:marLeft w:val="0"/>
      <w:marRight w:val="0"/>
      <w:marTop w:val="0"/>
      <w:marBottom w:val="0"/>
      <w:divBdr>
        <w:top w:val="none" w:sz="0" w:space="0" w:color="auto"/>
        <w:left w:val="none" w:sz="0" w:space="0" w:color="auto"/>
        <w:bottom w:val="none" w:sz="0" w:space="0" w:color="auto"/>
        <w:right w:val="none" w:sz="0" w:space="0" w:color="auto"/>
      </w:divBdr>
    </w:div>
    <w:div w:id="356663419">
      <w:bodyDiv w:val="1"/>
      <w:marLeft w:val="0"/>
      <w:marRight w:val="0"/>
      <w:marTop w:val="0"/>
      <w:marBottom w:val="0"/>
      <w:divBdr>
        <w:top w:val="none" w:sz="0" w:space="0" w:color="auto"/>
        <w:left w:val="none" w:sz="0" w:space="0" w:color="auto"/>
        <w:bottom w:val="none" w:sz="0" w:space="0" w:color="auto"/>
        <w:right w:val="none" w:sz="0" w:space="0" w:color="auto"/>
      </w:divBdr>
    </w:div>
    <w:div w:id="482355630">
      <w:bodyDiv w:val="1"/>
      <w:marLeft w:val="0"/>
      <w:marRight w:val="0"/>
      <w:marTop w:val="0"/>
      <w:marBottom w:val="0"/>
      <w:divBdr>
        <w:top w:val="none" w:sz="0" w:space="0" w:color="auto"/>
        <w:left w:val="none" w:sz="0" w:space="0" w:color="auto"/>
        <w:bottom w:val="none" w:sz="0" w:space="0" w:color="auto"/>
        <w:right w:val="none" w:sz="0" w:space="0" w:color="auto"/>
      </w:divBdr>
    </w:div>
    <w:div w:id="528252052">
      <w:bodyDiv w:val="1"/>
      <w:marLeft w:val="0"/>
      <w:marRight w:val="0"/>
      <w:marTop w:val="0"/>
      <w:marBottom w:val="0"/>
      <w:divBdr>
        <w:top w:val="none" w:sz="0" w:space="0" w:color="auto"/>
        <w:left w:val="none" w:sz="0" w:space="0" w:color="auto"/>
        <w:bottom w:val="none" w:sz="0" w:space="0" w:color="auto"/>
        <w:right w:val="none" w:sz="0" w:space="0" w:color="auto"/>
      </w:divBdr>
    </w:div>
    <w:div w:id="540751439">
      <w:bodyDiv w:val="1"/>
      <w:marLeft w:val="0"/>
      <w:marRight w:val="0"/>
      <w:marTop w:val="0"/>
      <w:marBottom w:val="0"/>
      <w:divBdr>
        <w:top w:val="none" w:sz="0" w:space="0" w:color="auto"/>
        <w:left w:val="none" w:sz="0" w:space="0" w:color="auto"/>
        <w:bottom w:val="none" w:sz="0" w:space="0" w:color="auto"/>
        <w:right w:val="none" w:sz="0" w:space="0" w:color="auto"/>
      </w:divBdr>
    </w:div>
    <w:div w:id="808089742">
      <w:bodyDiv w:val="1"/>
      <w:marLeft w:val="0"/>
      <w:marRight w:val="0"/>
      <w:marTop w:val="0"/>
      <w:marBottom w:val="0"/>
      <w:divBdr>
        <w:top w:val="none" w:sz="0" w:space="0" w:color="auto"/>
        <w:left w:val="none" w:sz="0" w:space="0" w:color="auto"/>
        <w:bottom w:val="none" w:sz="0" w:space="0" w:color="auto"/>
        <w:right w:val="none" w:sz="0" w:space="0" w:color="auto"/>
      </w:divBdr>
      <w:divsChild>
        <w:div w:id="838158093">
          <w:marLeft w:val="15"/>
          <w:marRight w:val="15"/>
          <w:marTop w:val="15"/>
          <w:marBottom w:val="15"/>
          <w:divBdr>
            <w:top w:val="none" w:sz="0" w:space="0" w:color="auto"/>
            <w:left w:val="none" w:sz="0" w:space="0" w:color="auto"/>
            <w:bottom w:val="none" w:sz="0" w:space="0" w:color="auto"/>
            <w:right w:val="none" w:sz="0" w:space="0" w:color="auto"/>
          </w:divBdr>
        </w:div>
        <w:div w:id="1776904117">
          <w:marLeft w:val="15"/>
          <w:marRight w:val="15"/>
          <w:marTop w:val="15"/>
          <w:marBottom w:val="15"/>
          <w:divBdr>
            <w:top w:val="none" w:sz="0" w:space="0" w:color="auto"/>
            <w:left w:val="none" w:sz="0" w:space="0" w:color="auto"/>
            <w:bottom w:val="none" w:sz="0" w:space="0" w:color="auto"/>
            <w:right w:val="none" w:sz="0" w:space="0" w:color="auto"/>
          </w:divBdr>
        </w:div>
        <w:div w:id="1181354677">
          <w:marLeft w:val="15"/>
          <w:marRight w:val="15"/>
          <w:marTop w:val="15"/>
          <w:marBottom w:val="15"/>
          <w:divBdr>
            <w:top w:val="none" w:sz="0" w:space="0" w:color="auto"/>
            <w:left w:val="none" w:sz="0" w:space="0" w:color="auto"/>
            <w:bottom w:val="none" w:sz="0" w:space="0" w:color="auto"/>
            <w:right w:val="none" w:sz="0" w:space="0" w:color="auto"/>
          </w:divBdr>
        </w:div>
        <w:div w:id="1381442377">
          <w:marLeft w:val="15"/>
          <w:marRight w:val="15"/>
          <w:marTop w:val="15"/>
          <w:marBottom w:val="15"/>
          <w:divBdr>
            <w:top w:val="none" w:sz="0" w:space="0" w:color="auto"/>
            <w:left w:val="none" w:sz="0" w:space="0" w:color="auto"/>
            <w:bottom w:val="none" w:sz="0" w:space="0" w:color="auto"/>
            <w:right w:val="none" w:sz="0" w:space="0" w:color="auto"/>
          </w:divBdr>
        </w:div>
        <w:div w:id="834801797">
          <w:marLeft w:val="15"/>
          <w:marRight w:val="15"/>
          <w:marTop w:val="15"/>
          <w:marBottom w:val="15"/>
          <w:divBdr>
            <w:top w:val="none" w:sz="0" w:space="0" w:color="auto"/>
            <w:left w:val="none" w:sz="0" w:space="0" w:color="auto"/>
            <w:bottom w:val="none" w:sz="0" w:space="0" w:color="auto"/>
            <w:right w:val="none" w:sz="0" w:space="0" w:color="auto"/>
          </w:divBdr>
        </w:div>
        <w:div w:id="1191605716">
          <w:marLeft w:val="15"/>
          <w:marRight w:val="15"/>
          <w:marTop w:val="15"/>
          <w:marBottom w:val="15"/>
          <w:divBdr>
            <w:top w:val="none" w:sz="0" w:space="0" w:color="auto"/>
            <w:left w:val="none" w:sz="0" w:space="0" w:color="auto"/>
            <w:bottom w:val="none" w:sz="0" w:space="0" w:color="auto"/>
            <w:right w:val="none" w:sz="0" w:space="0" w:color="auto"/>
          </w:divBdr>
        </w:div>
        <w:div w:id="900362396">
          <w:marLeft w:val="15"/>
          <w:marRight w:val="15"/>
          <w:marTop w:val="15"/>
          <w:marBottom w:val="15"/>
          <w:divBdr>
            <w:top w:val="none" w:sz="0" w:space="0" w:color="auto"/>
            <w:left w:val="none" w:sz="0" w:space="0" w:color="auto"/>
            <w:bottom w:val="none" w:sz="0" w:space="0" w:color="auto"/>
            <w:right w:val="none" w:sz="0" w:space="0" w:color="auto"/>
          </w:divBdr>
        </w:div>
        <w:div w:id="991907978">
          <w:marLeft w:val="15"/>
          <w:marRight w:val="15"/>
          <w:marTop w:val="15"/>
          <w:marBottom w:val="15"/>
          <w:divBdr>
            <w:top w:val="none" w:sz="0" w:space="0" w:color="auto"/>
            <w:left w:val="none" w:sz="0" w:space="0" w:color="auto"/>
            <w:bottom w:val="none" w:sz="0" w:space="0" w:color="auto"/>
            <w:right w:val="none" w:sz="0" w:space="0" w:color="auto"/>
          </w:divBdr>
        </w:div>
        <w:div w:id="1741978318">
          <w:marLeft w:val="15"/>
          <w:marRight w:val="15"/>
          <w:marTop w:val="15"/>
          <w:marBottom w:val="15"/>
          <w:divBdr>
            <w:top w:val="none" w:sz="0" w:space="0" w:color="auto"/>
            <w:left w:val="none" w:sz="0" w:space="0" w:color="auto"/>
            <w:bottom w:val="none" w:sz="0" w:space="0" w:color="auto"/>
            <w:right w:val="none" w:sz="0" w:space="0" w:color="auto"/>
          </w:divBdr>
        </w:div>
        <w:div w:id="1631937618">
          <w:marLeft w:val="15"/>
          <w:marRight w:val="15"/>
          <w:marTop w:val="15"/>
          <w:marBottom w:val="15"/>
          <w:divBdr>
            <w:top w:val="none" w:sz="0" w:space="0" w:color="auto"/>
            <w:left w:val="none" w:sz="0" w:space="0" w:color="auto"/>
            <w:bottom w:val="none" w:sz="0" w:space="0" w:color="auto"/>
            <w:right w:val="none" w:sz="0" w:space="0" w:color="auto"/>
          </w:divBdr>
        </w:div>
        <w:div w:id="1484855863">
          <w:marLeft w:val="15"/>
          <w:marRight w:val="15"/>
          <w:marTop w:val="15"/>
          <w:marBottom w:val="15"/>
          <w:divBdr>
            <w:top w:val="none" w:sz="0" w:space="0" w:color="auto"/>
            <w:left w:val="none" w:sz="0" w:space="0" w:color="auto"/>
            <w:bottom w:val="none" w:sz="0" w:space="0" w:color="auto"/>
            <w:right w:val="none" w:sz="0" w:space="0" w:color="auto"/>
          </w:divBdr>
        </w:div>
        <w:div w:id="1332443494">
          <w:marLeft w:val="15"/>
          <w:marRight w:val="15"/>
          <w:marTop w:val="15"/>
          <w:marBottom w:val="15"/>
          <w:divBdr>
            <w:top w:val="none" w:sz="0" w:space="0" w:color="auto"/>
            <w:left w:val="none" w:sz="0" w:space="0" w:color="auto"/>
            <w:bottom w:val="none" w:sz="0" w:space="0" w:color="auto"/>
            <w:right w:val="none" w:sz="0" w:space="0" w:color="auto"/>
          </w:divBdr>
        </w:div>
        <w:div w:id="2061898032">
          <w:marLeft w:val="15"/>
          <w:marRight w:val="15"/>
          <w:marTop w:val="15"/>
          <w:marBottom w:val="15"/>
          <w:divBdr>
            <w:top w:val="none" w:sz="0" w:space="0" w:color="auto"/>
            <w:left w:val="none" w:sz="0" w:space="0" w:color="auto"/>
            <w:bottom w:val="none" w:sz="0" w:space="0" w:color="auto"/>
            <w:right w:val="none" w:sz="0" w:space="0" w:color="auto"/>
          </w:divBdr>
        </w:div>
        <w:div w:id="1709253591">
          <w:marLeft w:val="15"/>
          <w:marRight w:val="15"/>
          <w:marTop w:val="15"/>
          <w:marBottom w:val="15"/>
          <w:divBdr>
            <w:top w:val="none" w:sz="0" w:space="0" w:color="auto"/>
            <w:left w:val="none" w:sz="0" w:space="0" w:color="auto"/>
            <w:bottom w:val="none" w:sz="0" w:space="0" w:color="auto"/>
            <w:right w:val="none" w:sz="0" w:space="0" w:color="auto"/>
          </w:divBdr>
        </w:div>
        <w:div w:id="751239980">
          <w:marLeft w:val="15"/>
          <w:marRight w:val="15"/>
          <w:marTop w:val="15"/>
          <w:marBottom w:val="15"/>
          <w:divBdr>
            <w:top w:val="none" w:sz="0" w:space="0" w:color="auto"/>
            <w:left w:val="none" w:sz="0" w:space="0" w:color="auto"/>
            <w:bottom w:val="none" w:sz="0" w:space="0" w:color="auto"/>
            <w:right w:val="none" w:sz="0" w:space="0" w:color="auto"/>
          </w:divBdr>
        </w:div>
        <w:div w:id="808597746">
          <w:marLeft w:val="15"/>
          <w:marRight w:val="15"/>
          <w:marTop w:val="15"/>
          <w:marBottom w:val="15"/>
          <w:divBdr>
            <w:top w:val="none" w:sz="0" w:space="0" w:color="auto"/>
            <w:left w:val="none" w:sz="0" w:space="0" w:color="auto"/>
            <w:bottom w:val="none" w:sz="0" w:space="0" w:color="auto"/>
            <w:right w:val="none" w:sz="0" w:space="0" w:color="auto"/>
          </w:divBdr>
        </w:div>
        <w:div w:id="1838155627">
          <w:marLeft w:val="15"/>
          <w:marRight w:val="15"/>
          <w:marTop w:val="15"/>
          <w:marBottom w:val="15"/>
          <w:divBdr>
            <w:top w:val="none" w:sz="0" w:space="0" w:color="auto"/>
            <w:left w:val="none" w:sz="0" w:space="0" w:color="auto"/>
            <w:bottom w:val="none" w:sz="0" w:space="0" w:color="auto"/>
            <w:right w:val="none" w:sz="0" w:space="0" w:color="auto"/>
          </w:divBdr>
        </w:div>
        <w:div w:id="613095724">
          <w:marLeft w:val="15"/>
          <w:marRight w:val="15"/>
          <w:marTop w:val="15"/>
          <w:marBottom w:val="15"/>
          <w:divBdr>
            <w:top w:val="none" w:sz="0" w:space="0" w:color="auto"/>
            <w:left w:val="none" w:sz="0" w:space="0" w:color="auto"/>
            <w:bottom w:val="none" w:sz="0" w:space="0" w:color="auto"/>
            <w:right w:val="none" w:sz="0" w:space="0" w:color="auto"/>
          </w:divBdr>
        </w:div>
        <w:div w:id="132405107">
          <w:marLeft w:val="15"/>
          <w:marRight w:val="15"/>
          <w:marTop w:val="15"/>
          <w:marBottom w:val="15"/>
          <w:divBdr>
            <w:top w:val="none" w:sz="0" w:space="0" w:color="auto"/>
            <w:left w:val="none" w:sz="0" w:space="0" w:color="auto"/>
            <w:bottom w:val="none" w:sz="0" w:space="0" w:color="auto"/>
            <w:right w:val="none" w:sz="0" w:space="0" w:color="auto"/>
          </w:divBdr>
        </w:div>
        <w:div w:id="1865360286">
          <w:marLeft w:val="15"/>
          <w:marRight w:val="15"/>
          <w:marTop w:val="15"/>
          <w:marBottom w:val="15"/>
          <w:divBdr>
            <w:top w:val="none" w:sz="0" w:space="0" w:color="auto"/>
            <w:left w:val="none" w:sz="0" w:space="0" w:color="auto"/>
            <w:bottom w:val="none" w:sz="0" w:space="0" w:color="auto"/>
            <w:right w:val="none" w:sz="0" w:space="0" w:color="auto"/>
          </w:divBdr>
        </w:div>
        <w:div w:id="748427469">
          <w:marLeft w:val="15"/>
          <w:marRight w:val="15"/>
          <w:marTop w:val="15"/>
          <w:marBottom w:val="15"/>
          <w:divBdr>
            <w:top w:val="none" w:sz="0" w:space="0" w:color="auto"/>
            <w:left w:val="none" w:sz="0" w:space="0" w:color="auto"/>
            <w:bottom w:val="none" w:sz="0" w:space="0" w:color="auto"/>
            <w:right w:val="none" w:sz="0" w:space="0" w:color="auto"/>
          </w:divBdr>
        </w:div>
        <w:div w:id="1833376458">
          <w:marLeft w:val="15"/>
          <w:marRight w:val="15"/>
          <w:marTop w:val="15"/>
          <w:marBottom w:val="15"/>
          <w:divBdr>
            <w:top w:val="none" w:sz="0" w:space="0" w:color="auto"/>
            <w:left w:val="none" w:sz="0" w:space="0" w:color="auto"/>
            <w:bottom w:val="none" w:sz="0" w:space="0" w:color="auto"/>
            <w:right w:val="none" w:sz="0" w:space="0" w:color="auto"/>
          </w:divBdr>
        </w:div>
        <w:div w:id="53899298">
          <w:marLeft w:val="15"/>
          <w:marRight w:val="15"/>
          <w:marTop w:val="15"/>
          <w:marBottom w:val="15"/>
          <w:divBdr>
            <w:top w:val="none" w:sz="0" w:space="0" w:color="auto"/>
            <w:left w:val="none" w:sz="0" w:space="0" w:color="auto"/>
            <w:bottom w:val="none" w:sz="0" w:space="0" w:color="auto"/>
            <w:right w:val="none" w:sz="0" w:space="0" w:color="auto"/>
          </w:divBdr>
        </w:div>
        <w:div w:id="12809991">
          <w:marLeft w:val="15"/>
          <w:marRight w:val="15"/>
          <w:marTop w:val="15"/>
          <w:marBottom w:val="15"/>
          <w:divBdr>
            <w:top w:val="none" w:sz="0" w:space="0" w:color="auto"/>
            <w:left w:val="none" w:sz="0" w:space="0" w:color="auto"/>
            <w:bottom w:val="none" w:sz="0" w:space="0" w:color="auto"/>
            <w:right w:val="none" w:sz="0" w:space="0" w:color="auto"/>
          </w:divBdr>
        </w:div>
        <w:div w:id="1151143752">
          <w:marLeft w:val="15"/>
          <w:marRight w:val="15"/>
          <w:marTop w:val="15"/>
          <w:marBottom w:val="15"/>
          <w:divBdr>
            <w:top w:val="none" w:sz="0" w:space="0" w:color="auto"/>
            <w:left w:val="none" w:sz="0" w:space="0" w:color="auto"/>
            <w:bottom w:val="none" w:sz="0" w:space="0" w:color="auto"/>
            <w:right w:val="none" w:sz="0" w:space="0" w:color="auto"/>
          </w:divBdr>
        </w:div>
        <w:div w:id="1519779944">
          <w:marLeft w:val="15"/>
          <w:marRight w:val="15"/>
          <w:marTop w:val="15"/>
          <w:marBottom w:val="15"/>
          <w:divBdr>
            <w:top w:val="none" w:sz="0" w:space="0" w:color="auto"/>
            <w:left w:val="none" w:sz="0" w:space="0" w:color="auto"/>
            <w:bottom w:val="none" w:sz="0" w:space="0" w:color="auto"/>
            <w:right w:val="none" w:sz="0" w:space="0" w:color="auto"/>
          </w:divBdr>
        </w:div>
        <w:div w:id="2030909047">
          <w:marLeft w:val="15"/>
          <w:marRight w:val="15"/>
          <w:marTop w:val="15"/>
          <w:marBottom w:val="15"/>
          <w:divBdr>
            <w:top w:val="none" w:sz="0" w:space="0" w:color="auto"/>
            <w:left w:val="none" w:sz="0" w:space="0" w:color="auto"/>
            <w:bottom w:val="none" w:sz="0" w:space="0" w:color="auto"/>
            <w:right w:val="none" w:sz="0" w:space="0" w:color="auto"/>
          </w:divBdr>
        </w:div>
        <w:div w:id="2128039020">
          <w:marLeft w:val="15"/>
          <w:marRight w:val="15"/>
          <w:marTop w:val="15"/>
          <w:marBottom w:val="15"/>
          <w:divBdr>
            <w:top w:val="none" w:sz="0" w:space="0" w:color="auto"/>
            <w:left w:val="none" w:sz="0" w:space="0" w:color="auto"/>
            <w:bottom w:val="none" w:sz="0" w:space="0" w:color="auto"/>
            <w:right w:val="none" w:sz="0" w:space="0" w:color="auto"/>
          </w:divBdr>
        </w:div>
        <w:div w:id="366225066">
          <w:marLeft w:val="15"/>
          <w:marRight w:val="15"/>
          <w:marTop w:val="15"/>
          <w:marBottom w:val="15"/>
          <w:divBdr>
            <w:top w:val="none" w:sz="0" w:space="0" w:color="auto"/>
            <w:left w:val="none" w:sz="0" w:space="0" w:color="auto"/>
            <w:bottom w:val="none" w:sz="0" w:space="0" w:color="auto"/>
            <w:right w:val="none" w:sz="0" w:space="0" w:color="auto"/>
          </w:divBdr>
        </w:div>
        <w:div w:id="1450125816">
          <w:marLeft w:val="15"/>
          <w:marRight w:val="15"/>
          <w:marTop w:val="15"/>
          <w:marBottom w:val="15"/>
          <w:divBdr>
            <w:top w:val="none" w:sz="0" w:space="0" w:color="auto"/>
            <w:left w:val="none" w:sz="0" w:space="0" w:color="auto"/>
            <w:bottom w:val="none" w:sz="0" w:space="0" w:color="auto"/>
            <w:right w:val="none" w:sz="0" w:space="0" w:color="auto"/>
          </w:divBdr>
        </w:div>
        <w:div w:id="2074814916">
          <w:marLeft w:val="15"/>
          <w:marRight w:val="15"/>
          <w:marTop w:val="15"/>
          <w:marBottom w:val="15"/>
          <w:divBdr>
            <w:top w:val="none" w:sz="0" w:space="0" w:color="auto"/>
            <w:left w:val="none" w:sz="0" w:space="0" w:color="auto"/>
            <w:bottom w:val="none" w:sz="0" w:space="0" w:color="auto"/>
            <w:right w:val="none" w:sz="0" w:space="0" w:color="auto"/>
          </w:divBdr>
        </w:div>
        <w:div w:id="1293247472">
          <w:marLeft w:val="15"/>
          <w:marRight w:val="15"/>
          <w:marTop w:val="15"/>
          <w:marBottom w:val="15"/>
          <w:divBdr>
            <w:top w:val="none" w:sz="0" w:space="0" w:color="auto"/>
            <w:left w:val="none" w:sz="0" w:space="0" w:color="auto"/>
            <w:bottom w:val="none" w:sz="0" w:space="0" w:color="auto"/>
            <w:right w:val="none" w:sz="0" w:space="0" w:color="auto"/>
          </w:divBdr>
        </w:div>
        <w:div w:id="685861191">
          <w:marLeft w:val="15"/>
          <w:marRight w:val="15"/>
          <w:marTop w:val="15"/>
          <w:marBottom w:val="15"/>
          <w:divBdr>
            <w:top w:val="none" w:sz="0" w:space="0" w:color="auto"/>
            <w:left w:val="none" w:sz="0" w:space="0" w:color="auto"/>
            <w:bottom w:val="none" w:sz="0" w:space="0" w:color="auto"/>
            <w:right w:val="none" w:sz="0" w:space="0" w:color="auto"/>
          </w:divBdr>
        </w:div>
        <w:div w:id="1953053317">
          <w:marLeft w:val="15"/>
          <w:marRight w:val="15"/>
          <w:marTop w:val="15"/>
          <w:marBottom w:val="15"/>
          <w:divBdr>
            <w:top w:val="none" w:sz="0" w:space="0" w:color="auto"/>
            <w:left w:val="none" w:sz="0" w:space="0" w:color="auto"/>
            <w:bottom w:val="none" w:sz="0" w:space="0" w:color="auto"/>
            <w:right w:val="none" w:sz="0" w:space="0" w:color="auto"/>
          </w:divBdr>
        </w:div>
        <w:div w:id="1113205205">
          <w:marLeft w:val="15"/>
          <w:marRight w:val="15"/>
          <w:marTop w:val="15"/>
          <w:marBottom w:val="15"/>
          <w:divBdr>
            <w:top w:val="none" w:sz="0" w:space="0" w:color="auto"/>
            <w:left w:val="none" w:sz="0" w:space="0" w:color="auto"/>
            <w:bottom w:val="none" w:sz="0" w:space="0" w:color="auto"/>
            <w:right w:val="none" w:sz="0" w:space="0" w:color="auto"/>
          </w:divBdr>
        </w:div>
        <w:div w:id="1948655659">
          <w:marLeft w:val="15"/>
          <w:marRight w:val="15"/>
          <w:marTop w:val="15"/>
          <w:marBottom w:val="15"/>
          <w:divBdr>
            <w:top w:val="none" w:sz="0" w:space="0" w:color="auto"/>
            <w:left w:val="none" w:sz="0" w:space="0" w:color="auto"/>
            <w:bottom w:val="none" w:sz="0" w:space="0" w:color="auto"/>
            <w:right w:val="none" w:sz="0" w:space="0" w:color="auto"/>
          </w:divBdr>
        </w:div>
        <w:div w:id="401876945">
          <w:marLeft w:val="15"/>
          <w:marRight w:val="15"/>
          <w:marTop w:val="15"/>
          <w:marBottom w:val="15"/>
          <w:divBdr>
            <w:top w:val="none" w:sz="0" w:space="0" w:color="auto"/>
            <w:left w:val="none" w:sz="0" w:space="0" w:color="auto"/>
            <w:bottom w:val="none" w:sz="0" w:space="0" w:color="auto"/>
            <w:right w:val="none" w:sz="0" w:space="0" w:color="auto"/>
          </w:divBdr>
        </w:div>
        <w:div w:id="30693051">
          <w:marLeft w:val="15"/>
          <w:marRight w:val="15"/>
          <w:marTop w:val="15"/>
          <w:marBottom w:val="15"/>
          <w:divBdr>
            <w:top w:val="none" w:sz="0" w:space="0" w:color="auto"/>
            <w:left w:val="none" w:sz="0" w:space="0" w:color="auto"/>
            <w:bottom w:val="none" w:sz="0" w:space="0" w:color="auto"/>
            <w:right w:val="none" w:sz="0" w:space="0" w:color="auto"/>
          </w:divBdr>
        </w:div>
        <w:div w:id="935746126">
          <w:marLeft w:val="15"/>
          <w:marRight w:val="15"/>
          <w:marTop w:val="15"/>
          <w:marBottom w:val="15"/>
          <w:divBdr>
            <w:top w:val="none" w:sz="0" w:space="0" w:color="auto"/>
            <w:left w:val="none" w:sz="0" w:space="0" w:color="auto"/>
            <w:bottom w:val="none" w:sz="0" w:space="0" w:color="auto"/>
            <w:right w:val="none" w:sz="0" w:space="0" w:color="auto"/>
          </w:divBdr>
        </w:div>
        <w:div w:id="265505248">
          <w:marLeft w:val="15"/>
          <w:marRight w:val="15"/>
          <w:marTop w:val="15"/>
          <w:marBottom w:val="15"/>
          <w:divBdr>
            <w:top w:val="none" w:sz="0" w:space="0" w:color="auto"/>
            <w:left w:val="none" w:sz="0" w:space="0" w:color="auto"/>
            <w:bottom w:val="none" w:sz="0" w:space="0" w:color="auto"/>
            <w:right w:val="none" w:sz="0" w:space="0" w:color="auto"/>
          </w:divBdr>
        </w:div>
        <w:div w:id="795635441">
          <w:marLeft w:val="15"/>
          <w:marRight w:val="15"/>
          <w:marTop w:val="15"/>
          <w:marBottom w:val="15"/>
          <w:divBdr>
            <w:top w:val="none" w:sz="0" w:space="0" w:color="auto"/>
            <w:left w:val="none" w:sz="0" w:space="0" w:color="auto"/>
            <w:bottom w:val="none" w:sz="0" w:space="0" w:color="auto"/>
            <w:right w:val="none" w:sz="0" w:space="0" w:color="auto"/>
          </w:divBdr>
        </w:div>
        <w:div w:id="1104691611">
          <w:marLeft w:val="15"/>
          <w:marRight w:val="15"/>
          <w:marTop w:val="15"/>
          <w:marBottom w:val="15"/>
          <w:divBdr>
            <w:top w:val="none" w:sz="0" w:space="0" w:color="auto"/>
            <w:left w:val="none" w:sz="0" w:space="0" w:color="auto"/>
            <w:bottom w:val="none" w:sz="0" w:space="0" w:color="auto"/>
            <w:right w:val="none" w:sz="0" w:space="0" w:color="auto"/>
          </w:divBdr>
        </w:div>
        <w:div w:id="1979872776">
          <w:marLeft w:val="15"/>
          <w:marRight w:val="15"/>
          <w:marTop w:val="15"/>
          <w:marBottom w:val="15"/>
          <w:divBdr>
            <w:top w:val="none" w:sz="0" w:space="0" w:color="auto"/>
            <w:left w:val="none" w:sz="0" w:space="0" w:color="auto"/>
            <w:bottom w:val="none" w:sz="0" w:space="0" w:color="auto"/>
            <w:right w:val="none" w:sz="0" w:space="0" w:color="auto"/>
          </w:divBdr>
        </w:div>
        <w:div w:id="1042553552">
          <w:marLeft w:val="15"/>
          <w:marRight w:val="15"/>
          <w:marTop w:val="15"/>
          <w:marBottom w:val="15"/>
          <w:divBdr>
            <w:top w:val="none" w:sz="0" w:space="0" w:color="auto"/>
            <w:left w:val="none" w:sz="0" w:space="0" w:color="auto"/>
            <w:bottom w:val="none" w:sz="0" w:space="0" w:color="auto"/>
            <w:right w:val="none" w:sz="0" w:space="0" w:color="auto"/>
          </w:divBdr>
        </w:div>
        <w:div w:id="1119035204">
          <w:marLeft w:val="15"/>
          <w:marRight w:val="15"/>
          <w:marTop w:val="15"/>
          <w:marBottom w:val="15"/>
          <w:divBdr>
            <w:top w:val="none" w:sz="0" w:space="0" w:color="auto"/>
            <w:left w:val="none" w:sz="0" w:space="0" w:color="auto"/>
            <w:bottom w:val="none" w:sz="0" w:space="0" w:color="auto"/>
            <w:right w:val="none" w:sz="0" w:space="0" w:color="auto"/>
          </w:divBdr>
        </w:div>
        <w:div w:id="273901291">
          <w:marLeft w:val="15"/>
          <w:marRight w:val="15"/>
          <w:marTop w:val="15"/>
          <w:marBottom w:val="15"/>
          <w:divBdr>
            <w:top w:val="none" w:sz="0" w:space="0" w:color="auto"/>
            <w:left w:val="none" w:sz="0" w:space="0" w:color="auto"/>
            <w:bottom w:val="none" w:sz="0" w:space="0" w:color="auto"/>
            <w:right w:val="none" w:sz="0" w:space="0" w:color="auto"/>
          </w:divBdr>
        </w:div>
        <w:div w:id="636380096">
          <w:marLeft w:val="15"/>
          <w:marRight w:val="15"/>
          <w:marTop w:val="15"/>
          <w:marBottom w:val="15"/>
          <w:divBdr>
            <w:top w:val="none" w:sz="0" w:space="0" w:color="auto"/>
            <w:left w:val="none" w:sz="0" w:space="0" w:color="auto"/>
            <w:bottom w:val="none" w:sz="0" w:space="0" w:color="auto"/>
            <w:right w:val="none" w:sz="0" w:space="0" w:color="auto"/>
          </w:divBdr>
        </w:div>
        <w:div w:id="1857303525">
          <w:marLeft w:val="15"/>
          <w:marRight w:val="15"/>
          <w:marTop w:val="15"/>
          <w:marBottom w:val="15"/>
          <w:divBdr>
            <w:top w:val="none" w:sz="0" w:space="0" w:color="auto"/>
            <w:left w:val="none" w:sz="0" w:space="0" w:color="auto"/>
            <w:bottom w:val="none" w:sz="0" w:space="0" w:color="auto"/>
            <w:right w:val="none" w:sz="0" w:space="0" w:color="auto"/>
          </w:divBdr>
        </w:div>
        <w:div w:id="2102094415">
          <w:marLeft w:val="15"/>
          <w:marRight w:val="15"/>
          <w:marTop w:val="15"/>
          <w:marBottom w:val="15"/>
          <w:divBdr>
            <w:top w:val="none" w:sz="0" w:space="0" w:color="auto"/>
            <w:left w:val="none" w:sz="0" w:space="0" w:color="auto"/>
            <w:bottom w:val="none" w:sz="0" w:space="0" w:color="auto"/>
            <w:right w:val="none" w:sz="0" w:space="0" w:color="auto"/>
          </w:divBdr>
        </w:div>
        <w:div w:id="2028095267">
          <w:marLeft w:val="15"/>
          <w:marRight w:val="15"/>
          <w:marTop w:val="15"/>
          <w:marBottom w:val="15"/>
          <w:divBdr>
            <w:top w:val="none" w:sz="0" w:space="0" w:color="auto"/>
            <w:left w:val="none" w:sz="0" w:space="0" w:color="auto"/>
            <w:bottom w:val="none" w:sz="0" w:space="0" w:color="auto"/>
            <w:right w:val="none" w:sz="0" w:space="0" w:color="auto"/>
          </w:divBdr>
        </w:div>
        <w:div w:id="451675169">
          <w:marLeft w:val="15"/>
          <w:marRight w:val="15"/>
          <w:marTop w:val="15"/>
          <w:marBottom w:val="15"/>
          <w:divBdr>
            <w:top w:val="none" w:sz="0" w:space="0" w:color="auto"/>
            <w:left w:val="none" w:sz="0" w:space="0" w:color="auto"/>
            <w:bottom w:val="none" w:sz="0" w:space="0" w:color="auto"/>
            <w:right w:val="none" w:sz="0" w:space="0" w:color="auto"/>
          </w:divBdr>
        </w:div>
        <w:div w:id="1657295560">
          <w:marLeft w:val="15"/>
          <w:marRight w:val="15"/>
          <w:marTop w:val="15"/>
          <w:marBottom w:val="15"/>
          <w:divBdr>
            <w:top w:val="none" w:sz="0" w:space="0" w:color="auto"/>
            <w:left w:val="none" w:sz="0" w:space="0" w:color="auto"/>
            <w:bottom w:val="none" w:sz="0" w:space="0" w:color="auto"/>
            <w:right w:val="none" w:sz="0" w:space="0" w:color="auto"/>
          </w:divBdr>
        </w:div>
        <w:div w:id="475220851">
          <w:marLeft w:val="15"/>
          <w:marRight w:val="15"/>
          <w:marTop w:val="15"/>
          <w:marBottom w:val="15"/>
          <w:divBdr>
            <w:top w:val="none" w:sz="0" w:space="0" w:color="auto"/>
            <w:left w:val="none" w:sz="0" w:space="0" w:color="auto"/>
            <w:bottom w:val="none" w:sz="0" w:space="0" w:color="auto"/>
            <w:right w:val="none" w:sz="0" w:space="0" w:color="auto"/>
          </w:divBdr>
        </w:div>
        <w:div w:id="598485023">
          <w:marLeft w:val="15"/>
          <w:marRight w:val="15"/>
          <w:marTop w:val="15"/>
          <w:marBottom w:val="15"/>
          <w:divBdr>
            <w:top w:val="none" w:sz="0" w:space="0" w:color="auto"/>
            <w:left w:val="none" w:sz="0" w:space="0" w:color="auto"/>
            <w:bottom w:val="none" w:sz="0" w:space="0" w:color="auto"/>
            <w:right w:val="none" w:sz="0" w:space="0" w:color="auto"/>
          </w:divBdr>
        </w:div>
        <w:div w:id="724960447">
          <w:marLeft w:val="15"/>
          <w:marRight w:val="15"/>
          <w:marTop w:val="15"/>
          <w:marBottom w:val="15"/>
          <w:divBdr>
            <w:top w:val="none" w:sz="0" w:space="0" w:color="auto"/>
            <w:left w:val="none" w:sz="0" w:space="0" w:color="auto"/>
            <w:bottom w:val="none" w:sz="0" w:space="0" w:color="auto"/>
            <w:right w:val="none" w:sz="0" w:space="0" w:color="auto"/>
          </w:divBdr>
        </w:div>
        <w:div w:id="442502575">
          <w:marLeft w:val="15"/>
          <w:marRight w:val="15"/>
          <w:marTop w:val="15"/>
          <w:marBottom w:val="15"/>
          <w:divBdr>
            <w:top w:val="none" w:sz="0" w:space="0" w:color="auto"/>
            <w:left w:val="none" w:sz="0" w:space="0" w:color="auto"/>
            <w:bottom w:val="none" w:sz="0" w:space="0" w:color="auto"/>
            <w:right w:val="none" w:sz="0" w:space="0" w:color="auto"/>
          </w:divBdr>
        </w:div>
        <w:div w:id="2053646388">
          <w:marLeft w:val="15"/>
          <w:marRight w:val="15"/>
          <w:marTop w:val="15"/>
          <w:marBottom w:val="15"/>
          <w:divBdr>
            <w:top w:val="none" w:sz="0" w:space="0" w:color="auto"/>
            <w:left w:val="none" w:sz="0" w:space="0" w:color="auto"/>
            <w:bottom w:val="none" w:sz="0" w:space="0" w:color="auto"/>
            <w:right w:val="none" w:sz="0" w:space="0" w:color="auto"/>
          </w:divBdr>
        </w:div>
        <w:div w:id="1542127908">
          <w:marLeft w:val="15"/>
          <w:marRight w:val="15"/>
          <w:marTop w:val="15"/>
          <w:marBottom w:val="15"/>
          <w:divBdr>
            <w:top w:val="none" w:sz="0" w:space="0" w:color="auto"/>
            <w:left w:val="none" w:sz="0" w:space="0" w:color="auto"/>
            <w:bottom w:val="none" w:sz="0" w:space="0" w:color="auto"/>
            <w:right w:val="none" w:sz="0" w:space="0" w:color="auto"/>
          </w:divBdr>
        </w:div>
        <w:div w:id="2094887946">
          <w:marLeft w:val="15"/>
          <w:marRight w:val="15"/>
          <w:marTop w:val="15"/>
          <w:marBottom w:val="15"/>
          <w:divBdr>
            <w:top w:val="none" w:sz="0" w:space="0" w:color="auto"/>
            <w:left w:val="none" w:sz="0" w:space="0" w:color="auto"/>
            <w:bottom w:val="none" w:sz="0" w:space="0" w:color="auto"/>
            <w:right w:val="none" w:sz="0" w:space="0" w:color="auto"/>
          </w:divBdr>
        </w:div>
        <w:div w:id="1309701477">
          <w:marLeft w:val="15"/>
          <w:marRight w:val="15"/>
          <w:marTop w:val="15"/>
          <w:marBottom w:val="15"/>
          <w:divBdr>
            <w:top w:val="none" w:sz="0" w:space="0" w:color="auto"/>
            <w:left w:val="none" w:sz="0" w:space="0" w:color="auto"/>
            <w:bottom w:val="none" w:sz="0" w:space="0" w:color="auto"/>
            <w:right w:val="none" w:sz="0" w:space="0" w:color="auto"/>
          </w:divBdr>
        </w:div>
        <w:div w:id="938634531">
          <w:marLeft w:val="15"/>
          <w:marRight w:val="15"/>
          <w:marTop w:val="15"/>
          <w:marBottom w:val="15"/>
          <w:divBdr>
            <w:top w:val="none" w:sz="0" w:space="0" w:color="auto"/>
            <w:left w:val="none" w:sz="0" w:space="0" w:color="auto"/>
            <w:bottom w:val="none" w:sz="0" w:space="0" w:color="auto"/>
            <w:right w:val="none" w:sz="0" w:space="0" w:color="auto"/>
          </w:divBdr>
        </w:div>
        <w:div w:id="2110931352">
          <w:marLeft w:val="15"/>
          <w:marRight w:val="15"/>
          <w:marTop w:val="15"/>
          <w:marBottom w:val="15"/>
          <w:divBdr>
            <w:top w:val="none" w:sz="0" w:space="0" w:color="auto"/>
            <w:left w:val="none" w:sz="0" w:space="0" w:color="auto"/>
            <w:bottom w:val="none" w:sz="0" w:space="0" w:color="auto"/>
            <w:right w:val="none" w:sz="0" w:space="0" w:color="auto"/>
          </w:divBdr>
        </w:div>
        <w:div w:id="169375907">
          <w:marLeft w:val="15"/>
          <w:marRight w:val="15"/>
          <w:marTop w:val="15"/>
          <w:marBottom w:val="15"/>
          <w:divBdr>
            <w:top w:val="none" w:sz="0" w:space="0" w:color="auto"/>
            <w:left w:val="none" w:sz="0" w:space="0" w:color="auto"/>
            <w:bottom w:val="none" w:sz="0" w:space="0" w:color="auto"/>
            <w:right w:val="none" w:sz="0" w:space="0" w:color="auto"/>
          </w:divBdr>
        </w:div>
        <w:div w:id="534856128">
          <w:marLeft w:val="15"/>
          <w:marRight w:val="15"/>
          <w:marTop w:val="15"/>
          <w:marBottom w:val="15"/>
          <w:divBdr>
            <w:top w:val="none" w:sz="0" w:space="0" w:color="auto"/>
            <w:left w:val="none" w:sz="0" w:space="0" w:color="auto"/>
            <w:bottom w:val="none" w:sz="0" w:space="0" w:color="auto"/>
            <w:right w:val="none" w:sz="0" w:space="0" w:color="auto"/>
          </w:divBdr>
        </w:div>
        <w:div w:id="1910074073">
          <w:marLeft w:val="15"/>
          <w:marRight w:val="15"/>
          <w:marTop w:val="15"/>
          <w:marBottom w:val="15"/>
          <w:divBdr>
            <w:top w:val="none" w:sz="0" w:space="0" w:color="auto"/>
            <w:left w:val="none" w:sz="0" w:space="0" w:color="auto"/>
            <w:bottom w:val="none" w:sz="0" w:space="0" w:color="auto"/>
            <w:right w:val="none" w:sz="0" w:space="0" w:color="auto"/>
          </w:divBdr>
        </w:div>
        <w:div w:id="1014765325">
          <w:marLeft w:val="15"/>
          <w:marRight w:val="15"/>
          <w:marTop w:val="15"/>
          <w:marBottom w:val="15"/>
          <w:divBdr>
            <w:top w:val="none" w:sz="0" w:space="0" w:color="auto"/>
            <w:left w:val="none" w:sz="0" w:space="0" w:color="auto"/>
            <w:bottom w:val="none" w:sz="0" w:space="0" w:color="auto"/>
            <w:right w:val="none" w:sz="0" w:space="0" w:color="auto"/>
          </w:divBdr>
        </w:div>
        <w:div w:id="2092777767">
          <w:marLeft w:val="15"/>
          <w:marRight w:val="15"/>
          <w:marTop w:val="15"/>
          <w:marBottom w:val="15"/>
          <w:divBdr>
            <w:top w:val="none" w:sz="0" w:space="0" w:color="auto"/>
            <w:left w:val="none" w:sz="0" w:space="0" w:color="auto"/>
            <w:bottom w:val="none" w:sz="0" w:space="0" w:color="auto"/>
            <w:right w:val="none" w:sz="0" w:space="0" w:color="auto"/>
          </w:divBdr>
        </w:div>
        <w:div w:id="161700093">
          <w:marLeft w:val="15"/>
          <w:marRight w:val="15"/>
          <w:marTop w:val="15"/>
          <w:marBottom w:val="15"/>
          <w:divBdr>
            <w:top w:val="none" w:sz="0" w:space="0" w:color="auto"/>
            <w:left w:val="none" w:sz="0" w:space="0" w:color="auto"/>
            <w:bottom w:val="none" w:sz="0" w:space="0" w:color="auto"/>
            <w:right w:val="none" w:sz="0" w:space="0" w:color="auto"/>
          </w:divBdr>
        </w:div>
        <w:div w:id="947541719">
          <w:marLeft w:val="15"/>
          <w:marRight w:val="15"/>
          <w:marTop w:val="15"/>
          <w:marBottom w:val="15"/>
          <w:divBdr>
            <w:top w:val="none" w:sz="0" w:space="0" w:color="auto"/>
            <w:left w:val="none" w:sz="0" w:space="0" w:color="auto"/>
            <w:bottom w:val="none" w:sz="0" w:space="0" w:color="auto"/>
            <w:right w:val="none" w:sz="0" w:space="0" w:color="auto"/>
          </w:divBdr>
        </w:div>
        <w:div w:id="302665677">
          <w:marLeft w:val="15"/>
          <w:marRight w:val="15"/>
          <w:marTop w:val="15"/>
          <w:marBottom w:val="15"/>
          <w:divBdr>
            <w:top w:val="none" w:sz="0" w:space="0" w:color="auto"/>
            <w:left w:val="none" w:sz="0" w:space="0" w:color="auto"/>
            <w:bottom w:val="none" w:sz="0" w:space="0" w:color="auto"/>
            <w:right w:val="none" w:sz="0" w:space="0" w:color="auto"/>
          </w:divBdr>
        </w:div>
        <w:div w:id="1063022541">
          <w:marLeft w:val="15"/>
          <w:marRight w:val="15"/>
          <w:marTop w:val="15"/>
          <w:marBottom w:val="15"/>
          <w:divBdr>
            <w:top w:val="none" w:sz="0" w:space="0" w:color="auto"/>
            <w:left w:val="none" w:sz="0" w:space="0" w:color="auto"/>
            <w:bottom w:val="none" w:sz="0" w:space="0" w:color="auto"/>
            <w:right w:val="none" w:sz="0" w:space="0" w:color="auto"/>
          </w:divBdr>
        </w:div>
        <w:div w:id="909577802">
          <w:marLeft w:val="15"/>
          <w:marRight w:val="15"/>
          <w:marTop w:val="15"/>
          <w:marBottom w:val="15"/>
          <w:divBdr>
            <w:top w:val="none" w:sz="0" w:space="0" w:color="auto"/>
            <w:left w:val="none" w:sz="0" w:space="0" w:color="auto"/>
            <w:bottom w:val="none" w:sz="0" w:space="0" w:color="auto"/>
            <w:right w:val="none" w:sz="0" w:space="0" w:color="auto"/>
          </w:divBdr>
        </w:div>
      </w:divsChild>
    </w:div>
    <w:div w:id="848837175">
      <w:bodyDiv w:val="1"/>
      <w:marLeft w:val="0"/>
      <w:marRight w:val="0"/>
      <w:marTop w:val="0"/>
      <w:marBottom w:val="0"/>
      <w:divBdr>
        <w:top w:val="none" w:sz="0" w:space="0" w:color="auto"/>
        <w:left w:val="none" w:sz="0" w:space="0" w:color="auto"/>
        <w:bottom w:val="none" w:sz="0" w:space="0" w:color="auto"/>
        <w:right w:val="none" w:sz="0" w:space="0" w:color="auto"/>
      </w:divBdr>
    </w:div>
    <w:div w:id="134397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BFFE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EC2BA-15DE-4CFC-8244-E3A1D6A17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3425</Words>
  <Characters>19529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Clough</dc:creator>
  <cp:lastModifiedBy>Jonathan Clough</cp:lastModifiedBy>
  <cp:revision>5</cp:revision>
  <dcterms:created xsi:type="dcterms:W3CDTF">2018-08-29T13:50:00Z</dcterms:created>
  <dcterms:modified xsi:type="dcterms:W3CDTF">2018-08-29T15:06:00Z</dcterms:modified>
</cp:coreProperties>
</file>