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90BA7" w14:textId="77777777" w:rsidR="00C700DA" w:rsidRDefault="00C700DA" w:rsidP="00C700DA">
      <w:bookmarkStart w:id="0" w:name="_Toc365951210"/>
      <w:r>
        <w:t>AQUATOX is distributed with a variety of self-contained studies</w:t>
      </w:r>
      <w:r w:rsidR="003977C7">
        <w:t xml:space="preserve"> (Table 1) </w:t>
      </w:r>
      <w:r>
        <w:t>that can be used as tutorial examples, templates, or starting points for developing new applications.  They are color-coded here to give the user a rough idea of their applicability. There are four general classes of studies:</w:t>
      </w:r>
    </w:p>
    <w:p w14:paraId="1DF0BA45" w14:textId="77777777" w:rsidR="00C700DA" w:rsidRDefault="00C700DA" w:rsidP="00C700DA">
      <w:pPr>
        <w:pStyle w:val="ListParagraph"/>
        <w:numPr>
          <w:ilvl w:val="0"/>
          <w:numId w:val="10"/>
        </w:numPr>
      </w:pPr>
      <w:r w:rsidRPr="00F32C26">
        <w:rPr>
          <w:b/>
        </w:rPr>
        <w:t>Nutrient studies</w:t>
      </w:r>
      <w:r>
        <w:t xml:space="preserve"> that are designed to examine the effects of organic matter, nitrogen, and phosphorus levels on primary productivity and the consequent effects on the food web.</w:t>
      </w:r>
    </w:p>
    <w:p w14:paraId="3726B02D" w14:textId="77777777" w:rsidR="00C700DA" w:rsidRPr="00F32C26" w:rsidRDefault="00C700DA" w:rsidP="00C700DA">
      <w:pPr>
        <w:pStyle w:val="ListParagraph"/>
        <w:numPr>
          <w:ilvl w:val="0"/>
          <w:numId w:val="10"/>
        </w:numPr>
        <w:rPr>
          <w:b/>
        </w:rPr>
      </w:pPr>
      <w:r w:rsidRPr="00F32C26">
        <w:rPr>
          <w:b/>
        </w:rPr>
        <w:t>M</w:t>
      </w:r>
      <w:r>
        <w:rPr>
          <w:b/>
        </w:rPr>
        <w:t>icrocosm and m</w:t>
      </w:r>
      <w:r w:rsidRPr="00F32C26">
        <w:rPr>
          <w:b/>
        </w:rPr>
        <w:t>esocosm studies</w:t>
      </w:r>
      <w:r>
        <w:rPr>
          <w:b/>
        </w:rPr>
        <w:t xml:space="preserve"> </w:t>
      </w:r>
      <w:r>
        <w:t>in which the model is applied to experimental facilities or sites that are in themselves physical models with controlled boundary conditions; these range from simple aquaria to experimental streams to pond enclosures.</w:t>
      </w:r>
    </w:p>
    <w:p w14:paraId="62417048" w14:textId="77777777" w:rsidR="00C700DA" w:rsidRPr="00053B39" w:rsidRDefault="00C700DA" w:rsidP="00C700DA">
      <w:pPr>
        <w:pStyle w:val="ListParagraph"/>
        <w:numPr>
          <w:ilvl w:val="0"/>
          <w:numId w:val="10"/>
        </w:numPr>
        <w:rPr>
          <w:b/>
        </w:rPr>
      </w:pPr>
      <w:r w:rsidRPr="00F32C26">
        <w:rPr>
          <w:b/>
        </w:rPr>
        <w:t>Chemical fate and effects studies</w:t>
      </w:r>
      <w:r>
        <w:rPr>
          <w:b/>
        </w:rPr>
        <w:t xml:space="preserve"> </w:t>
      </w:r>
      <w:r>
        <w:t>that examine bioaccumulation and the direct and indirect effects of organic chemicals on the food web as well as the persistence of those chemicals.</w:t>
      </w:r>
    </w:p>
    <w:p w14:paraId="037D745E" w14:textId="77777777" w:rsidR="00C700DA" w:rsidRPr="00200B07" w:rsidRDefault="00C700DA" w:rsidP="00C700DA">
      <w:pPr>
        <w:pStyle w:val="ListParagraph"/>
        <w:numPr>
          <w:ilvl w:val="0"/>
          <w:numId w:val="10"/>
        </w:numPr>
        <w:rPr>
          <w:b/>
        </w:rPr>
      </w:pPr>
      <w:r w:rsidRPr="00F32C26">
        <w:rPr>
          <w:b/>
        </w:rPr>
        <w:t>Studies intended for teaching purposes</w:t>
      </w:r>
      <w:r>
        <w:rPr>
          <w:b/>
        </w:rPr>
        <w:t xml:space="preserve"> </w:t>
      </w:r>
      <w:r>
        <w:t>that are not closely based on observed data, but that are included to illustrate particular AQUATOX features or site types.</w:t>
      </w:r>
    </w:p>
    <w:p w14:paraId="7EE5F770" w14:textId="77777777" w:rsidR="00200B07" w:rsidRDefault="00200B07" w:rsidP="00200B07">
      <w:pPr>
        <w:pStyle w:val="ListParagraph"/>
        <w:numPr>
          <w:ilvl w:val="0"/>
          <w:numId w:val="10"/>
        </w:numPr>
      </w:pPr>
      <w:r>
        <w:rPr>
          <w:b/>
        </w:rPr>
        <w:t xml:space="preserve">Nearshore Marine Environment Studies </w:t>
      </w:r>
      <w:r>
        <w:t>in which the model has been calibrated to biotic data representing the nearshore marine environment.</w:t>
      </w:r>
      <w:r w:rsidR="00082D94">
        <w:t xml:space="preserve"> (Blancher 2017)</w:t>
      </w:r>
    </w:p>
    <w:p w14:paraId="575273DB" w14:textId="77777777" w:rsidR="00200B07" w:rsidRPr="00200B07" w:rsidRDefault="00200B07" w:rsidP="00200B07">
      <w:pPr>
        <w:pStyle w:val="ListParagraph"/>
      </w:pPr>
    </w:p>
    <w:p w14:paraId="11336F41" w14:textId="77777777" w:rsidR="00C700DA" w:rsidRDefault="00C700DA" w:rsidP="00C700DA">
      <w:r>
        <w:t>The table below is organized by study type in the following order:  nutrient studies, micro- and mesocosm studies, chemical fate and effects studies, and teaching studies.  Well-calibrated studies</w:t>
      </w:r>
      <w:r w:rsidR="004647D6">
        <w:rPr>
          <w:rStyle w:val="FootnoteReference"/>
        </w:rPr>
        <w:footnoteReference w:id="2"/>
      </w:r>
      <w:r w:rsidR="004647D6">
        <w:t xml:space="preserve"> </w:t>
      </w:r>
      <w:r>
        <w:t>for each type are presented first.</w:t>
      </w:r>
    </w:p>
    <w:p w14:paraId="7D3FCA28" w14:textId="77777777" w:rsidR="00B5266B" w:rsidRPr="0069054A" w:rsidRDefault="00B5266B" w:rsidP="00C700D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838"/>
      </w:tblGrid>
      <w:tr w:rsidR="00C700DA" w:rsidRPr="002C4EB5" w14:paraId="57BB4858" w14:textId="77777777" w:rsidTr="00CB3941">
        <w:trPr>
          <w:trHeight w:val="450"/>
        </w:trPr>
        <w:tc>
          <w:tcPr>
            <w:tcW w:w="2413" w:type="pct"/>
            <w:tcBorders>
              <w:bottom w:val="single" w:sz="4" w:space="0" w:color="auto"/>
            </w:tcBorders>
            <w:shd w:val="clear" w:color="000000" w:fill="FFCC66"/>
            <w:noWrap/>
            <w:vAlign w:val="center"/>
            <w:hideMark/>
          </w:tcPr>
          <w:p w14:paraId="133B4D8E" w14:textId="77777777" w:rsidR="00C700DA" w:rsidRPr="001E09C4" w:rsidRDefault="00C700DA" w:rsidP="00CB3941">
            <w:pPr>
              <w:spacing w:after="0" w:line="240" w:lineRule="auto"/>
              <w:rPr>
                <w:rFonts w:eastAsia="Times New Roman"/>
                <w:color w:val="000000"/>
              </w:rPr>
            </w:pPr>
            <w:r w:rsidRPr="001E09C4">
              <w:rPr>
                <w:rFonts w:eastAsia="Times New Roman"/>
                <w:bCs/>
                <w:color w:val="000000"/>
                <w:sz w:val="22"/>
              </w:rPr>
              <w:t>Well-calibrated nutrient study</w:t>
            </w:r>
          </w:p>
        </w:tc>
        <w:tc>
          <w:tcPr>
            <w:tcW w:w="2587" w:type="pct"/>
            <w:tcBorders>
              <w:bottom w:val="single" w:sz="4" w:space="0" w:color="auto"/>
            </w:tcBorders>
            <w:shd w:val="clear" w:color="000000" w:fill="FFE8B9"/>
            <w:noWrap/>
            <w:vAlign w:val="center"/>
            <w:hideMark/>
          </w:tcPr>
          <w:p w14:paraId="651AFF26" w14:textId="77777777" w:rsidR="00C700DA" w:rsidRPr="003F6BA3" w:rsidRDefault="00C700DA" w:rsidP="00CB3941">
            <w:pPr>
              <w:spacing w:after="0" w:line="240" w:lineRule="auto"/>
              <w:rPr>
                <w:rFonts w:eastAsia="Times New Roman"/>
                <w:color w:val="000000"/>
              </w:rPr>
            </w:pPr>
            <w:r w:rsidRPr="001E09C4">
              <w:rPr>
                <w:rFonts w:eastAsia="Times New Roman"/>
                <w:bCs/>
                <w:color w:val="000000"/>
                <w:sz w:val="22"/>
              </w:rPr>
              <w:t>Roughly-calibrated nutrient study</w:t>
            </w:r>
          </w:p>
        </w:tc>
      </w:tr>
      <w:tr w:rsidR="00C700DA" w:rsidRPr="002C4EB5" w14:paraId="6284825F" w14:textId="77777777" w:rsidTr="00CB3941">
        <w:trPr>
          <w:trHeight w:val="450"/>
        </w:trPr>
        <w:tc>
          <w:tcPr>
            <w:tcW w:w="2413" w:type="pct"/>
            <w:tcBorders>
              <w:bottom w:val="single" w:sz="4" w:space="0" w:color="auto"/>
            </w:tcBorders>
            <w:shd w:val="clear" w:color="000000" w:fill="D99997"/>
            <w:noWrap/>
            <w:vAlign w:val="center"/>
            <w:hideMark/>
          </w:tcPr>
          <w:p w14:paraId="46D33541" w14:textId="77777777" w:rsidR="00C700DA" w:rsidRPr="001E09C4" w:rsidRDefault="00C700DA" w:rsidP="00CB3941">
            <w:pPr>
              <w:spacing w:after="0" w:line="240" w:lineRule="auto"/>
              <w:rPr>
                <w:rFonts w:eastAsia="Times New Roman"/>
                <w:color w:val="000000"/>
              </w:rPr>
            </w:pPr>
            <w:r w:rsidRPr="001E09C4">
              <w:rPr>
                <w:rFonts w:eastAsia="Times New Roman"/>
                <w:bCs/>
                <w:color w:val="000000"/>
                <w:sz w:val="22"/>
              </w:rPr>
              <w:t>Well-calibrated micro- or mesocosm study</w:t>
            </w:r>
          </w:p>
        </w:tc>
        <w:tc>
          <w:tcPr>
            <w:tcW w:w="2587" w:type="pct"/>
            <w:tcBorders>
              <w:bottom w:val="single" w:sz="4" w:space="0" w:color="auto"/>
            </w:tcBorders>
            <w:shd w:val="clear" w:color="000000" w:fill="F4E0E0"/>
            <w:noWrap/>
            <w:vAlign w:val="center"/>
            <w:hideMark/>
          </w:tcPr>
          <w:p w14:paraId="2FAEDDEC" w14:textId="77777777" w:rsidR="00C700DA" w:rsidRPr="003F6BA3" w:rsidRDefault="00C700DA" w:rsidP="00CB3941">
            <w:pPr>
              <w:spacing w:after="0" w:line="240" w:lineRule="auto"/>
              <w:rPr>
                <w:rFonts w:eastAsia="Times New Roman"/>
                <w:color w:val="000000"/>
              </w:rPr>
            </w:pPr>
            <w:r w:rsidRPr="001E09C4">
              <w:rPr>
                <w:rFonts w:eastAsia="Times New Roman"/>
                <w:bCs/>
                <w:color w:val="000000"/>
                <w:sz w:val="22"/>
              </w:rPr>
              <w:t>Roughly-calibrated mesocosm study</w:t>
            </w:r>
          </w:p>
        </w:tc>
      </w:tr>
      <w:tr w:rsidR="00C700DA" w:rsidRPr="002C4EB5" w14:paraId="73871B56" w14:textId="77777777" w:rsidTr="00200B07">
        <w:trPr>
          <w:trHeight w:val="450"/>
        </w:trPr>
        <w:tc>
          <w:tcPr>
            <w:tcW w:w="2413" w:type="pct"/>
            <w:tcBorders>
              <w:bottom w:val="single" w:sz="4" w:space="0" w:color="auto"/>
            </w:tcBorders>
            <w:shd w:val="clear" w:color="000000" w:fill="92D050"/>
            <w:noWrap/>
            <w:vAlign w:val="center"/>
            <w:hideMark/>
          </w:tcPr>
          <w:p w14:paraId="108A55F9" w14:textId="77777777" w:rsidR="00C700DA" w:rsidRPr="001E09C4" w:rsidRDefault="00C700DA" w:rsidP="00CB3941">
            <w:pPr>
              <w:spacing w:after="0" w:line="240" w:lineRule="auto"/>
              <w:rPr>
                <w:rFonts w:eastAsia="Times New Roman"/>
                <w:color w:val="000000"/>
              </w:rPr>
            </w:pPr>
            <w:r w:rsidRPr="001E09C4">
              <w:rPr>
                <w:rFonts w:eastAsia="Times New Roman"/>
                <w:bCs/>
                <w:color w:val="000000"/>
                <w:sz w:val="22"/>
              </w:rPr>
              <w:t>Well-calibrated chemical fate/effects study</w:t>
            </w:r>
          </w:p>
        </w:tc>
        <w:tc>
          <w:tcPr>
            <w:tcW w:w="2587" w:type="pct"/>
            <w:tcBorders>
              <w:bottom w:val="single" w:sz="4" w:space="0" w:color="auto"/>
            </w:tcBorders>
            <w:shd w:val="clear" w:color="000000" w:fill="D2ECB6"/>
            <w:noWrap/>
            <w:vAlign w:val="center"/>
            <w:hideMark/>
          </w:tcPr>
          <w:p w14:paraId="2610F4AB" w14:textId="77777777" w:rsidR="00C700DA" w:rsidRPr="003F6BA3" w:rsidRDefault="00C700DA" w:rsidP="00CB3941">
            <w:pPr>
              <w:spacing w:after="0" w:line="240" w:lineRule="auto"/>
              <w:rPr>
                <w:rFonts w:eastAsia="Times New Roman"/>
                <w:color w:val="000000"/>
              </w:rPr>
            </w:pPr>
            <w:r w:rsidRPr="001E09C4">
              <w:rPr>
                <w:rFonts w:eastAsia="Times New Roman"/>
                <w:bCs/>
                <w:color w:val="000000"/>
                <w:sz w:val="22"/>
              </w:rPr>
              <w:t>Roughly-calibrated chemical fate/effects study</w:t>
            </w:r>
          </w:p>
        </w:tc>
      </w:tr>
      <w:tr w:rsidR="00C700DA" w:rsidRPr="002C4EB5" w14:paraId="6D8EEA2D" w14:textId="77777777" w:rsidTr="00200B07">
        <w:trPr>
          <w:trHeight w:val="450"/>
        </w:trPr>
        <w:tc>
          <w:tcPr>
            <w:tcW w:w="2413" w:type="pct"/>
            <w:shd w:val="clear" w:color="000000" w:fill="FFFF99"/>
            <w:noWrap/>
            <w:vAlign w:val="center"/>
            <w:hideMark/>
          </w:tcPr>
          <w:p w14:paraId="21309C91" w14:textId="77777777" w:rsidR="00C700DA" w:rsidRPr="001E09C4" w:rsidRDefault="00200B07" w:rsidP="00200B07">
            <w:pPr>
              <w:spacing w:after="0" w:line="240" w:lineRule="auto"/>
              <w:rPr>
                <w:rFonts w:eastAsia="Times New Roman"/>
                <w:color w:val="000000"/>
              </w:rPr>
            </w:pPr>
            <w:r w:rsidRPr="001E09C4">
              <w:rPr>
                <w:rFonts w:eastAsia="Times New Roman"/>
                <w:bCs/>
                <w:color w:val="000000"/>
                <w:sz w:val="22"/>
              </w:rPr>
              <w:t xml:space="preserve">Well-calibrated </w:t>
            </w:r>
            <w:r>
              <w:rPr>
                <w:rFonts w:eastAsia="Times New Roman"/>
                <w:bCs/>
                <w:color w:val="000000"/>
                <w:sz w:val="22"/>
              </w:rPr>
              <w:t>NME</w:t>
            </w:r>
            <w:r w:rsidRPr="001E09C4">
              <w:rPr>
                <w:rFonts w:eastAsia="Times New Roman"/>
                <w:bCs/>
                <w:color w:val="000000"/>
                <w:sz w:val="22"/>
              </w:rPr>
              <w:t xml:space="preserve"> study</w:t>
            </w:r>
          </w:p>
        </w:tc>
        <w:tc>
          <w:tcPr>
            <w:tcW w:w="2587" w:type="pct"/>
            <w:shd w:val="clear" w:color="auto" w:fill="B8CCE4"/>
            <w:noWrap/>
            <w:vAlign w:val="center"/>
            <w:hideMark/>
          </w:tcPr>
          <w:p w14:paraId="60F336EC" w14:textId="77777777" w:rsidR="00C700DA" w:rsidRPr="003F6BA3" w:rsidRDefault="00C700DA" w:rsidP="00CB3941">
            <w:pPr>
              <w:spacing w:after="0" w:line="240" w:lineRule="auto"/>
              <w:rPr>
                <w:rFonts w:eastAsia="Times New Roman"/>
                <w:color w:val="000000"/>
              </w:rPr>
            </w:pPr>
            <w:r w:rsidRPr="001E09C4">
              <w:rPr>
                <w:rFonts w:eastAsia="Times New Roman"/>
                <w:bCs/>
                <w:color w:val="000000"/>
                <w:sz w:val="22"/>
              </w:rPr>
              <w:t> Study intended for teaching purposes</w:t>
            </w:r>
          </w:p>
        </w:tc>
      </w:tr>
    </w:tbl>
    <w:p w14:paraId="1EBAB683" w14:textId="77777777" w:rsidR="004647D6" w:rsidRDefault="004647D6" w:rsidP="00C700DA">
      <w:pPr>
        <w:pStyle w:val="Caption"/>
        <w:keepNext/>
        <w:spacing w:before="120"/>
      </w:pPr>
      <w:bookmarkStart w:id="1" w:name="_Ref373157775"/>
    </w:p>
    <w:p w14:paraId="7BF8844C" w14:textId="77777777" w:rsidR="004647D6" w:rsidRDefault="004647D6">
      <w:pPr>
        <w:rPr>
          <w:b/>
          <w:bCs/>
          <w:color w:val="4F81BD" w:themeColor="accent1"/>
          <w:sz w:val="18"/>
          <w:szCs w:val="18"/>
        </w:rPr>
      </w:pPr>
      <w:r>
        <w:br w:type="page"/>
      </w:r>
    </w:p>
    <w:p w14:paraId="07F8471B" w14:textId="7D7A7C42" w:rsidR="00C700DA" w:rsidRPr="00A0500A" w:rsidRDefault="00C700DA" w:rsidP="00C700DA">
      <w:pPr>
        <w:pStyle w:val="Caption"/>
        <w:keepNext/>
        <w:spacing w:before="120"/>
      </w:pPr>
      <w:r w:rsidRPr="00A0500A">
        <w:lastRenderedPageBreak/>
        <w:t xml:space="preserve">Table </w:t>
      </w:r>
      <w:fldSimple w:instr=" SEQ Table \* ARABIC ">
        <w:r w:rsidR="00171481">
          <w:rPr>
            <w:noProof/>
          </w:rPr>
          <w:t>1</w:t>
        </w:r>
      </w:fldSimple>
      <w:bookmarkEnd w:id="1"/>
      <w:r w:rsidRPr="00A0500A">
        <w:t>. Description of Example Study Files for AQUATOX</w:t>
      </w:r>
      <w:r w:rsidR="00CA6D7B">
        <w:t>.NET</w:t>
      </w:r>
    </w:p>
    <w:tbl>
      <w:tblPr>
        <w:tblW w:w="9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5"/>
        <w:gridCol w:w="1050"/>
        <w:gridCol w:w="1080"/>
        <w:gridCol w:w="5280"/>
      </w:tblGrid>
      <w:tr w:rsidR="00CA6D7B" w:rsidRPr="001E515B" w14:paraId="50AFA301" w14:textId="77777777" w:rsidTr="00CA6D7B">
        <w:trPr>
          <w:cantSplit/>
          <w:trHeight w:val="315"/>
          <w:tblHeader/>
        </w:trPr>
        <w:tc>
          <w:tcPr>
            <w:tcW w:w="2095" w:type="dxa"/>
            <w:tcBorders>
              <w:bottom w:val="single" w:sz="4" w:space="0" w:color="auto"/>
            </w:tcBorders>
            <w:noWrap/>
            <w:tcMar>
              <w:top w:w="29" w:type="dxa"/>
              <w:left w:w="115" w:type="dxa"/>
              <w:bottom w:w="29" w:type="dxa"/>
              <w:right w:w="115" w:type="dxa"/>
            </w:tcMar>
            <w:vAlign w:val="center"/>
          </w:tcPr>
          <w:p w14:paraId="5ACC9513" w14:textId="77777777" w:rsidR="00CA6D7B" w:rsidRPr="001E09C4" w:rsidRDefault="00CA6D7B" w:rsidP="00CB3941">
            <w:pPr>
              <w:spacing w:line="240" w:lineRule="auto"/>
              <w:rPr>
                <w:rFonts w:eastAsia="Times New Roman"/>
                <w:b/>
                <w:bCs/>
                <w:i/>
                <w:sz w:val="20"/>
                <w:szCs w:val="20"/>
              </w:rPr>
            </w:pPr>
            <w:bookmarkStart w:id="2" w:name="OLE_LINK1"/>
            <w:r w:rsidRPr="001E09C4">
              <w:rPr>
                <w:rFonts w:eastAsia="Times New Roman"/>
                <w:b/>
                <w:bCs/>
                <w:i/>
                <w:sz w:val="20"/>
                <w:szCs w:val="20"/>
              </w:rPr>
              <w:t>Study Name</w:t>
            </w:r>
          </w:p>
        </w:tc>
        <w:tc>
          <w:tcPr>
            <w:tcW w:w="1050" w:type="dxa"/>
            <w:tcBorders>
              <w:bottom w:val="single" w:sz="4" w:space="0" w:color="auto"/>
            </w:tcBorders>
            <w:noWrap/>
            <w:tcMar>
              <w:top w:w="29" w:type="dxa"/>
              <w:left w:w="58" w:type="dxa"/>
              <w:bottom w:w="29" w:type="dxa"/>
              <w:right w:w="58" w:type="dxa"/>
            </w:tcMar>
            <w:vAlign w:val="center"/>
          </w:tcPr>
          <w:p w14:paraId="757FD191" w14:textId="77777777" w:rsidR="00CA6D7B" w:rsidRPr="004A4E36" w:rsidRDefault="00CA6D7B" w:rsidP="00CB3941">
            <w:pPr>
              <w:spacing w:line="240" w:lineRule="auto"/>
              <w:rPr>
                <w:rFonts w:eastAsia="Times New Roman"/>
                <w:b/>
                <w:bCs/>
                <w:sz w:val="20"/>
                <w:szCs w:val="20"/>
              </w:rPr>
            </w:pPr>
            <w:r w:rsidRPr="004A4E36">
              <w:rPr>
                <w:rFonts w:eastAsia="Times New Roman"/>
                <w:b/>
                <w:bCs/>
                <w:sz w:val="20"/>
                <w:szCs w:val="20"/>
              </w:rPr>
              <w:t>Site Type</w:t>
            </w:r>
          </w:p>
        </w:tc>
        <w:tc>
          <w:tcPr>
            <w:tcW w:w="1080" w:type="dxa"/>
            <w:tcBorders>
              <w:bottom w:val="single" w:sz="4" w:space="0" w:color="auto"/>
            </w:tcBorders>
            <w:noWrap/>
            <w:tcMar>
              <w:top w:w="29" w:type="dxa"/>
              <w:left w:w="115" w:type="dxa"/>
              <w:bottom w:w="29" w:type="dxa"/>
              <w:right w:w="115" w:type="dxa"/>
            </w:tcMar>
            <w:vAlign w:val="center"/>
          </w:tcPr>
          <w:p w14:paraId="43979572" w14:textId="77777777" w:rsidR="00CA6D7B" w:rsidRPr="004A4E36" w:rsidRDefault="00CA6D7B" w:rsidP="00CB3941">
            <w:pPr>
              <w:spacing w:line="240" w:lineRule="auto"/>
              <w:rPr>
                <w:rFonts w:eastAsia="Times New Roman"/>
                <w:b/>
                <w:bCs/>
                <w:sz w:val="20"/>
                <w:szCs w:val="20"/>
              </w:rPr>
            </w:pPr>
            <w:r w:rsidRPr="004A4E36">
              <w:rPr>
                <w:rFonts w:eastAsia="Times New Roman"/>
                <w:b/>
                <w:bCs/>
                <w:sz w:val="20"/>
                <w:szCs w:val="20"/>
              </w:rPr>
              <w:t>Location</w:t>
            </w:r>
          </w:p>
        </w:tc>
        <w:tc>
          <w:tcPr>
            <w:tcW w:w="5280" w:type="dxa"/>
            <w:tcBorders>
              <w:bottom w:val="single" w:sz="4" w:space="0" w:color="auto"/>
            </w:tcBorders>
            <w:noWrap/>
            <w:tcMar>
              <w:top w:w="29" w:type="dxa"/>
              <w:left w:w="115" w:type="dxa"/>
              <w:bottom w:w="29" w:type="dxa"/>
              <w:right w:w="115" w:type="dxa"/>
            </w:tcMar>
            <w:vAlign w:val="center"/>
          </w:tcPr>
          <w:p w14:paraId="0D10984E" w14:textId="77777777" w:rsidR="00CA6D7B" w:rsidRPr="004A4E36" w:rsidRDefault="00CA6D7B" w:rsidP="00CB3941">
            <w:pPr>
              <w:spacing w:line="240" w:lineRule="auto"/>
              <w:rPr>
                <w:rFonts w:eastAsia="Times New Roman"/>
                <w:b/>
                <w:bCs/>
                <w:sz w:val="20"/>
                <w:szCs w:val="20"/>
              </w:rPr>
            </w:pPr>
            <w:r w:rsidRPr="004A4E36">
              <w:rPr>
                <w:rFonts w:eastAsia="Times New Roman"/>
                <w:b/>
                <w:bCs/>
                <w:sz w:val="20"/>
                <w:szCs w:val="20"/>
              </w:rPr>
              <w:t>Notes</w:t>
            </w:r>
          </w:p>
        </w:tc>
      </w:tr>
      <w:tr w:rsidR="00CA6D7B" w:rsidRPr="001E515B" w14:paraId="2E110C96" w14:textId="77777777" w:rsidTr="00CA6D7B">
        <w:trPr>
          <w:cantSplit/>
          <w:trHeight w:val="1008"/>
        </w:trPr>
        <w:tc>
          <w:tcPr>
            <w:tcW w:w="2095" w:type="dxa"/>
            <w:shd w:val="clear" w:color="auto" w:fill="FFFF99"/>
            <w:noWrap/>
            <w:tcMar>
              <w:top w:w="29" w:type="dxa"/>
              <w:left w:w="115" w:type="dxa"/>
              <w:bottom w:w="29" w:type="dxa"/>
              <w:right w:w="115" w:type="dxa"/>
            </w:tcMar>
            <w:vAlign w:val="center"/>
          </w:tcPr>
          <w:p w14:paraId="7D0D3FD1" w14:textId="73837B3B" w:rsidR="00CA6D7B" w:rsidRDefault="00CA6D7B" w:rsidP="00CB3941">
            <w:pPr>
              <w:spacing w:line="240" w:lineRule="auto"/>
              <w:rPr>
                <w:rFonts w:eastAsia="Times New Roman"/>
                <w:i/>
                <w:sz w:val="20"/>
                <w:szCs w:val="20"/>
              </w:rPr>
            </w:pPr>
            <w:r>
              <w:rPr>
                <w:rFonts w:eastAsia="Times New Roman"/>
                <w:i/>
                <w:sz w:val="20"/>
                <w:szCs w:val="20"/>
              </w:rPr>
              <w:t xml:space="preserve">Pass Marianne Reef, </w:t>
            </w:r>
            <w:proofErr w:type="spellStart"/>
            <w:r>
              <w:rPr>
                <w:rFonts w:eastAsia="Times New Roman"/>
                <w:i/>
                <w:sz w:val="20"/>
                <w:szCs w:val="20"/>
              </w:rPr>
              <w:t>MS.json</w:t>
            </w:r>
            <w:proofErr w:type="spellEnd"/>
          </w:p>
          <w:p w14:paraId="005628B2" w14:textId="77777777" w:rsidR="00CA6D7B" w:rsidRPr="001E09C4" w:rsidRDefault="00CA6D7B" w:rsidP="00CB3941">
            <w:pPr>
              <w:spacing w:line="240" w:lineRule="auto"/>
              <w:rPr>
                <w:rFonts w:eastAsia="Times New Roman"/>
                <w:i/>
                <w:sz w:val="20"/>
                <w:szCs w:val="20"/>
              </w:rPr>
            </w:pPr>
            <w:r>
              <w:rPr>
                <w:rFonts w:eastAsia="Times New Roman"/>
                <w:i/>
                <w:sz w:val="20"/>
                <w:szCs w:val="20"/>
              </w:rPr>
              <w:t>(well-calibrated NME)</w:t>
            </w:r>
          </w:p>
        </w:tc>
        <w:tc>
          <w:tcPr>
            <w:tcW w:w="1050" w:type="dxa"/>
            <w:shd w:val="clear" w:color="auto" w:fill="FFFF99"/>
            <w:noWrap/>
            <w:tcMar>
              <w:top w:w="29" w:type="dxa"/>
              <w:left w:w="58" w:type="dxa"/>
              <w:bottom w:w="29" w:type="dxa"/>
              <w:right w:w="58" w:type="dxa"/>
            </w:tcMar>
            <w:vAlign w:val="center"/>
          </w:tcPr>
          <w:p w14:paraId="0463DA35" w14:textId="71F9B021" w:rsidR="00CA6D7B" w:rsidRPr="001E515B" w:rsidRDefault="00CA6D7B" w:rsidP="00CB3941">
            <w:pPr>
              <w:spacing w:line="240" w:lineRule="auto"/>
              <w:rPr>
                <w:rFonts w:eastAsia="Times New Roman"/>
                <w:sz w:val="20"/>
                <w:szCs w:val="20"/>
              </w:rPr>
            </w:pPr>
            <w:r>
              <w:rPr>
                <w:rFonts w:eastAsia="Times New Roman"/>
                <w:sz w:val="20"/>
                <w:szCs w:val="20"/>
              </w:rPr>
              <w:t>Nearshore Marine Oyster</w:t>
            </w:r>
          </w:p>
        </w:tc>
        <w:tc>
          <w:tcPr>
            <w:tcW w:w="1080" w:type="dxa"/>
            <w:shd w:val="clear" w:color="auto" w:fill="FFFF99"/>
            <w:tcMar>
              <w:top w:w="29" w:type="dxa"/>
              <w:left w:w="115" w:type="dxa"/>
              <w:bottom w:w="29" w:type="dxa"/>
              <w:right w:w="115" w:type="dxa"/>
            </w:tcMar>
            <w:vAlign w:val="center"/>
          </w:tcPr>
          <w:p w14:paraId="05B6D6CF" w14:textId="77777777" w:rsidR="00CA6D7B" w:rsidRPr="001E515B" w:rsidRDefault="00CA6D7B" w:rsidP="00CB3941">
            <w:pPr>
              <w:spacing w:line="240" w:lineRule="auto"/>
              <w:rPr>
                <w:rFonts w:eastAsia="Times New Roman"/>
                <w:sz w:val="20"/>
                <w:szCs w:val="20"/>
              </w:rPr>
            </w:pPr>
            <w:r>
              <w:rPr>
                <w:rFonts w:eastAsia="Times New Roman"/>
                <w:sz w:val="20"/>
                <w:szCs w:val="20"/>
              </w:rPr>
              <w:t>MS Sound</w:t>
            </w:r>
          </w:p>
        </w:tc>
        <w:tc>
          <w:tcPr>
            <w:tcW w:w="5280" w:type="dxa"/>
            <w:shd w:val="clear" w:color="auto" w:fill="FFFF99"/>
            <w:tcMar>
              <w:top w:w="29" w:type="dxa"/>
              <w:left w:w="115" w:type="dxa"/>
              <w:bottom w:w="29" w:type="dxa"/>
              <w:right w:w="115" w:type="dxa"/>
            </w:tcMar>
            <w:vAlign w:val="center"/>
          </w:tcPr>
          <w:p w14:paraId="1BDDFBC9" w14:textId="77777777" w:rsidR="00CA6D7B" w:rsidRPr="001E515B" w:rsidRDefault="00CA6D7B" w:rsidP="005E60F5">
            <w:pPr>
              <w:spacing w:line="240" w:lineRule="auto"/>
              <w:rPr>
                <w:rFonts w:eastAsia="Times New Roman"/>
                <w:sz w:val="20"/>
                <w:szCs w:val="20"/>
              </w:rPr>
            </w:pPr>
            <w:r>
              <w:rPr>
                <w:rFonts w:eastAsia="Times New Roman"/>
                <w:sz w:val="20"/>
                <w:szCs w:val="20"/>
              </w:rPr>
              <w:t xml:space="preserve">Model calibration conforms well with observed oyster biomass.  Magnitude of fish and invertebrate biomass estimates verified with Gulf locations (Grand Bay &amp; Galveston Bay)  Model driven with data from MODIS and Northern Gulf Institute studies. </w:t>
            </w:r>
            <w:r w:rsidRPr="00082D94">
              <w:rPr>
                <w:rFonts w:eastAsia="Times New Roman"/>
                <w:sz w:val="20"/>
                <w:szCs w:val="20"/>
              </w:rPr>
              <w:t>(Blancher 2017)</w:t>
            </w:r>
          </w:p>
        </w:tc>
      </w:tr>
      <w:tr w:rsidR="00CA6D7B" w:rsidRPr="001E515B" w14:paraId="1FAD7483" w14:textId="77777777" w:rsidTr="00CA6D7B">
        <w:trPr>
          <w:cantSplit/>
          <w:trHeight w:val="1008"/>
        </w:trPr>
        <w:tc>
          <w:tcPr>
            <w:tcW w:w="2095" w:type="dxa"/>
            <w:shd w:val="clear" w:color="auto" w:fill="FFFF99"/>
            <w:noWrap/>
            <w:tcMar>
              <w:top w:w="29" w:type="dxa"/>
              <w:left w:w="115" w:type="dxa"/>
              <w:bottom w:w="29" w:type="dxa"/>
              <w:right w:w="115" w:type="dxa"/>
            </w:tcMar>
            <w:vAlign w:val="center"/>
          </w:tcPr>
          <w:p w14:paraId="5F1CA3AB" w14:textId="37E3BA27" w:rsidR="00CA6D7B" w:rsidRPr="001E09C4" w:rsidRDefault="00CA6D7B" w:rsidP="006D11A5">
            <w:pPr>
              <w:spacing w:line="240" w:lineRule="auto"/>
              <w:rPr>
                <w:rFonts w:eastAsia="Times New Roman"/>
                <w:i/>
                <w:sz w:val="20"/>
                <w:szCs w:val="20"/>
              </w:rPr>
            </w:pPr>
            <w:proofErr w:type="spellStart"/>
            <w:r w:rsidRPr="006D11A5">
              <w:rPr>
                <w:rFonts w:eastAsia="Times New Roman"/>
                <w:i/>
                <w:sz w:val="20"/>
                <w:szCs w:val="20"/>
              </w:rPr>
              <w:t>MS_Sound_Soft</w:t>
            </w:r>
            <w:proofErr w:type="spellEnd"/>
            <w:r w:rsidRPr="006D11A5">
              <w:rPr>
                <w:rFonts w:eastAsia="Times New Roman"/>
                <w:i/>
                <w:sz w:val="20"/>
                <w:szCs w:val="20"/>
              </w:rPr>
              <w:t xml:space="preserve"> </w:t>
            </w:r>
            <w:proofErr w:type="spellStart"/>
            <w:r w:rsidRPr="006D11A5">
              <w:rPr>
                <w:rFonts w:eastAsia="Times New Roman"/>
                <w:i/>
                <w:sz w:val="20"/>
                <w:szCs w:val="20"/>
              </w:rPr>
              <w:t>Bottom</w:t>
            </w:r>
            <w:r>
              <w:rPr>
                <w:rFonts w:eastAsia="Times New Roman"/>
                <w:i/>
                <w:sz w:val="20"/>
                <w:szCs w:val="20"/>
              </w:rPr>
              <w:t>.json</w:t>
            </w:r>
            <w:proofErr w:type="spellEnd"/>
            <w:r w:rsidRPr="006D11A5">
              <w:rPr>
                <w:rFonts w:eastAsia="Times New Roman"/>
                <w:i/>
                <w:sz w:val="20"/>
                <w:szCs w:val="20"/>
              </w:rPr>
              <w:t xml:space="preserve"> </w:t>
            </w:r>
            <w:r>
              <w:rPr>
                <w:rFonts w:eastAsia="Times New Roman"/>
                <w:i/>
                <w:sz w:val="20"/>
                <w:szCs w:val="20"/>
              </w:rPr>
              <w:t>(well-calibrated NME)</w:t>
            </w:r>
          </w:p>
        </w:tc>
        <w:tc>
          <w:tcPr>
            <w:tcW w:w="1050" w:type="dxa"/>
            <w:shd w:val="clear" w:color="auto" w:fill="FFFF99"/>
            <w:noWrap/>
            <w:tcMar>
              <w:top w:w="29" w:type="dxa"/>
              <w:left w:w="58" w:type="dxa"/>
              <w:bottom w:w="29" w:type="dxa"/>
              <w:right w:w="58" w:type="dxa"/>
            </w:tcMar>
            <w:vAlign w:val="center"/>
          </w:tcPr>
          <w:p w14:paraId="68BFB468" w14:textId="12E6CCB0" w:rsidR="00CA6D7B" w:rsidRPr="001E515B" w:rsidRDefault="00CA6D7B" w:rsidP="00CB3941">
            <w:pPr>
              <w:spacing w:line="240" w:lineRule="auto"/>
              <w:rPr>
                <w:rFonts w:eastAsia="Times New Roman"/>
                <w:sz w:val="20"/>
                <w:szCs w:val="20"/>
              </w:rPr>
            </w:pPr>
            <w:r>
              <w:rPr>
                <w:rFonts w:eastAsia="Times New Roman"/>
                <w:sz w:val="20"/>
                <w:szCs w:val="20"/>
              </w:rPr>
              <w:t>Nearshore Marine Soft</w:t>
            </w:r>
          </w:p>
        </w:tc>
        <w:tc>
          <w:tcPr>
            <w:tcW w:w="1080" w:type="dxa"/>
            <w:shd w:val="clear" w:color="auto" w:fill="FFFF99"/>
            <w:tcMar>
              <w:top w:w="29" w:type="dxa"/>
              <w:left w:w="115" w:type="dxa"/>
              <w:bottom w:w="29" w:type="dxa"/>
              <w:right w:w="115" w:type="dxa"/>
            </w:tcMar>
            <w:vAlign w:val="center"/>
          </w:tcPr>
          <w:p w14:paraId="1D78D918" w14:textId="77777777" w:rsidR="00CA6D7B" w:rsidRPr="001E515B" w:rsidRDefault="00CA6D7B" w:rsidP="007C7B86">
            <w:pPr>
              <w:spacing w:line="240" w:lineRule="auto"/>
              <w:rPr>
                <w:rFonts w:eastAsia="Times New Roman"/>
                <w:sz w:val="20"/>
                <w:szCs w:val="20"/>
              </w:rPr>
            </w:pPr>
            <w:r>
              <w:rPr>
                <w:rFonts w:eastAsia="Times New Roman"/>
                <w:sz w:val="20"/>
                <w:szCs w:val="20"/>
              </w:rPr>
              <w:t>MS Sound</w:t>
            </w:r>
          </w:p>
        </w:tc>
        <w:tc>
          <w:tcPr>
            <w:tcW w:w="5280" w:type="dxa"/>
            <w:shd w:val="clear" w:color="auto" w:fill="FFFF99"/>
            <w:tcMar>
              <w:top w:w="29" w:type="dxa"/>
              <w:left w:w="115" w:type="dxa"/>
              <w:bottom w:w="29" w:type="dxa"/>
              <w:right w:w="115" w:type="dxa"/>
            </w:tcMar>
            <w:vAlign w:val="center"/>
          </w:tcPr>
          <w:p w14:paraId="1EA449BC" w14:textId="77777777" w:rsidR="00CA6D7B" w:rsidRPr="00CE3846" w:rsidRDefault="00CA6D7B" w:rsidP="00CB3941">
            <w:pPr>
              <w:spacing w:line="240" w:lineRule="auto"/>
              <w:rPr>
                <w:rFonts w:eastAsia="Times New Roman"/>
                <w:sz w:val="20"/>
                <w:szCs w:val="20"/>
              </w:rPr>
            </w:pPr>
            <w:r>
              <w:rPr>
                <w:rFonts w:eastAsia="Times New Roman"/>
                <w:sz w:val="20"/>
                <w:szCs w:val="20"/>
              </w:rPr>
              <w:t xml:space="preserve">Soft-bottom calibration in location near Cat Island, MS.  Model calibrated to phytoplankton data from Northern Gulf Institute Studies.  Magnitude of </w:t>
            </w:r>
            <w:proofErr w:type="spellStart"/>
            <w:r>
              <w:rPr>
                <w:rFonts w:eastAsia="Times New Roman"/>
                <w:sz w:val="20"/>
                <w:szCs w:val="20"/>
              </w:rPr>
              <w:t>chl</w:t>
            </w:r>
            <w:proofErr w:type="spellEnd"/>
            <w:r>
              <w:rPr>
                <w:rFonts w:eastAsia="Times New Roman"/>
                <w:sz w:val="20"/>
                <w:szCs w:val="20"/>
              </w:rPr>
              <w:t xml:space="preserve"> </w:t>
            </w:r>
            <w:r w:rsidRPr="00CE3846">
              <w:rPr>
                <w:rFonts w:eastAsia="Times New Roman"/>
                <w:i/>
                <w:sz w:val="20"/>
                <w:szCs w:val="20"/>
              </w:rPr>
              <w:t>a</w:t>
            </w:r>
            <w:r>
              <w:rPr>
                <w:rFonts w:eastAsia="Times New Roman"/>
                <w:i/>
                <w:sz w:val="20"/>
                <w:szCs w:val="20"/>
              </w:rPr>
              <w:t xml:space="preserve"> </w:t>
            </w:r>
            <w:r>
              <w:rPr>
                <w:rFonts w:eastAsia="Times New Roman"/>
                <w:sz w:val="20"/>
                <w:szCs w:val="20"/>
              </w:rPr>
              <w:t xml:space="preserve">predictions verified with MODIS data.  Zooplankton, fish, </w:t>
            </w:r>
            <w:proofErr w:type="spellStart"/>
            <w:r>
              <w:rPr>
                <w:rFonts w:eastAsia="Times New Roman"/>
                <w:sz w:val="20"/>
                <w:szCs w:val="20"/>
              </w:rPr>
              <w:t>secchi</w:t>
            </w:r>
            <w:proofErr w:type="spellEnd"/>
            <w:r>
              <w:rPr>
                <w:rFonts w:eastAsia="Times New Roman"/>
                <w:sz w:val="20"/>
                <w:szCs w:val="20"/>
              </w:rPr>
              <w:t xml:space="preserve"> depth data also compared against model predictions.</w:t>
            </w:r>
          </w:p>
        </w:tc>
      </w:tr>
      <w:tr w:rsidR="00CA6D7B" w:rsidRPr="001E515B" w14:paraId="3F893FE3" w14:textId="77777777" w:rsidTr="00CA6D7B">
        <w:trPr>
          <w:cantSplit/>
          <w:trHeight w:val="1008"/>
        </w:trPr>
        <w:tc>
          <w:tcPr>
            <w:tcW w:w="2095" w:type="dxa"/>
            <w:shd w:val="clear" w:color="auto" w:fill="FFFF99"/>
            <w:noWrap/>
            <w:tcMar>
              <w:top w:w="29" w:type="dxa"/>
              <w:left w:w="115" w:type="dxa"/>
              <w:bottom w:w="29" w:type="dxa"/>
              <w:right w:w="115" w:type="dxa"/>
            </w:tcMar>
            <w:vAlign w:val="center"/>
          </w:tcPr>
          <w:p w14:paraId="5C5B7671" w14:textId="001DA9FF" w:rsidR="00CA6D7B" w:rsidRPr="001E09C4" w:rsidRDefault="00CA6D7B" w:rsidP="006D11A5">
            <w:pPr>
              <w:spacing w:line="240" w:lineRule="auto"/>
              <w:rPr>
                <w:rFonts w:eastAsia="Times New Roman"/>
                <w:i/>
                <w:sz w:val="20"/>
                <w:szCs w:val="20"/>
              </w:rPr>
            </w:pPr>
            <w:proofErr w:type="spellStart"/>
            <w:r w:rsidRPr="00CE04F4">
              <w:rPr>
                <w:rFonts w:eastAsia="Times New Roman"/>
                <w:i/>
                <w:sz w:val="20"/>
                <w:szCs w:val="20"/>
              </w:rPr>
              <w:t>MS_Sound</w:t>
            </w:r>
            <w:proofErr w:type="spellEnd"/>
            <w:r w:rsidRPr="00CE04F4">
              <w:rPr>
                <w:rFonts w:eastAsia="Times New Roman"/>
                <w:i/>
                <w:sz w:val="20"/>
                <w:szCs w:val="20"/>
              </w:rPr>
              <w:t xml:space="preserve"> Exposed </w:t>
            </w:r>
            <w:proofErr w:type="spellStart"/>
            <w:r w:rsidRPr="00CE04F4">
              <w:rPr>
                <w:rFonts w:eastAsia="Times New Roman"/>
                <w:i/>
                <w:sz w:val="20"/>
                <w:szCs w:val="20"/>
              </w:rPr>
              <w:t>Beach</w:t>
            </w:r>
            <w:r>
              <w:rPr>
                <w:rFonts w:eastAsia="Times New Roman"/>
                <w:i/>
                <w:sz w:val="20"/>
                <w:szCs w:val="20"/>
              </w:rPr>
              <w:t>.json</w:t>
            </w:r>
            <w:proofErr w:type="spellEnd"/>
            <w:r w:rsidRPr="00CE04F4">
              <w:rPr>
                <w:rFonts w:eastAsia="Times New Roman"/>
                <w:i/>
                <w:sz w:val="20"/>
                <w:szCs w:val="20"/>
              </w:rPr>
              <w:t xml:space="preserve"> </w:t>
            </w:r>
            <w:r>
              <w:rPr>
                <w:rFonts w:eastAsia="Times New Roman"/>
                <w:i/>
                <w:sz w:val="20"/>
                <w:szCs w:val="20"/>
              </w:rPr>
              <w:t xml:space="preserve"> (well-calibrated NME)</w:t>
            </w:r>
          </w:p>
        </w:tc>
        <w:tc>
          <w:tcPr>
            <w:tcW w:w="1050" w:type="dxa"/>
            <w:shd w:val="clear" w:color="auto" w:fill="FFFF99"/>
            <w:noWrap/>
            <w:tcMar>
              <w:top w:w="29" w:type="dxa"/>
              <w:left w:w="58" w:type="dxa"/>
              <w:bottom w:w="29" w:type="dxa"/>
              <w:right w:w="58" w:type="dxa"/>
            </w:tcMar>
            <w:vAlign w:val="center"/>
          </w:tcPr>
          <w:p w14:paraId="3BDBB760" w14:textId="3B474897" w:rsidR="00CA6D7B" w:rsidRPr="001E515B" w:rsidRDefault="00CA6D7B" w:rsidP="00CE3846">
            <w:pPr>
              <w:spacing w:line="240" w:lineRule="auto"/>
              <w:rPr>
                <w:rFonts w:eastAsia="Times New Roman"/>
                <w:sz w:val="20"/>
                <w:szCs w:val="20"/>
              </w:rPr>
            </w:pPr>
            <w:r>
              <w:rPr>
                <w:rFonts w:eastAsia="Times New Roman"/>
                <w:sz w:val="20"/>
                <w:szCs w:val="20"/>
              </w:rPr>
              <w:t>Nearshore Marine Beach</w:t>
            </w:r>
          </w:p>
        </w:tc>
        <w:tc>
          <w:tcPr>
            <w:tcW w:w="1080" w:type="dxa"/>
            <w:shd w:val="clear" w:color="auto" w:fill="FFFF99"/>
            <w:tcMar>
              <w:top w:w="29" w:type="dxa"/>
              <w:left w:w="115" w:type="dxa"/>
              <w:bottom w:w="29" w:type="dxa"/>
              <w:right w:w="115" w:type="dxa"/>
            </w:tcMar>
            <w:vAlign w:val="center"/>
          </w:tcPr>
          <w:p w14:paraId="7716AE0C" w14:textId="77777777" w:rsidR="00CA6D7B" w:rsidRPr="001E515B" w:rsidRDefault="00CA6D7B" w:rsidP="007C7B86">
            <w:pPr>
              <w:spacing w:line="240" w:lineRule="auto"/>
              <w:rPr>
                <w:rFonts w:eastAsia="Times New Roman"/>
                <w:sz w:val="20"/>
                <w:szCs w:val="20"/>
              </w:rPr>
            </w:pPr>
            <w:r>
              <w:rPr>
                <w:rFonts w:eastAsia="Times New Roman"/>
                <w:sz w:val="20"/>
                <w:szCs w:val="20"/>
              </w:rPr>
              <w:t>MS Sound</w:t>
            </w:r>
          </w:p>
        </w:tc>
        <w:tc>
          <w:tcPr>
            <w:tcW w:w="5280" w:type="dxa"/>
            <w:shd w:val="clear" w:color="auto" w:fill="FFFF99"/>
            <w:tcMar>
              <w:top w:w="29" w:type="dxa"/>
              <w:left w:w="115" w:type="dxa"/>
              <w:bottom w:w="29" w:type="dxa"/>
              <w:right w:w="115" w:type="dxa"/>
            </w:tcMar>
            <w:vAlign w:val="center"/>
          </w:tcPr>
          <w:p w14:paraId="2F5A8ABD" w14:textId="77777777" w:rsidR="00CA6D7B" w:rsidRPr="001E515B" w:rsidRDefault="00CA6D7B" w:rsidP="00CB3941">
            <w:pPr>
              <w:spacing w:line="240" w:lineRule="auto"/>
              <w:rPr>
                <w:rFonts w:eastAsia="Times New Roman"/>
                <w:sz w:val="20"/>
                <w:szCs w:val="20"/>
              </w:rPr>
            </w:pPr>
            <w:r>
              <w:rPr>
                <w:rFonts w:eastAsia="Times New Roman"/>
                <w:sz w:val="20"/>
                <w:szCs w:val="20"/>
              </w:rPr>
              <w:t xml:space="preserve">Front-edge barrier-island calibration.   Zoobenthos and fish biomass predictions compared to observed data from exposed beach habitats.  </w:t>
            </w:r>
            <w:r w:rsidRPr="00082D94">
              <w:rPr>
                <w:rFonts w:eastAsia="Times New Roman"/>
                <w:sz w:val="20"/>
                <w:szCs w:val="20"/>
              </w:rPr>
              <w:t>(Blancher 2017)</w:t>
            </w:r>
          </w:p>
        </w:tc>
      </w:tr>
      <w:tr w:rsidR="00CA6D7B" w:rsidRPr="001E515B" w14:paraId="027C65E8" w14:textId="77777777" w:rsidTr="00CA6D7B">
        <w:trPr>
          <w:cantSplit/>
          <w:trHeight w:val="1008"/>
        </w:trPr>
        <w:tc>
          <w:tcPr>
            <w:tcW w:w="2095" w:type="dxa"/>
            <w:shd w:val="clear" w:color="auto" w:fill="FFFF99"/>
            <w:noWrap/>
            <w:tcMar>
              <w:top w:w="29" w:type="dxa"/>
              <w:left w:w="115" w:type="dxa"/>
              <w:bottom w:w="29" w:type="dxa"/>
              <w:right w:w="115" w:type="dxa"/>
            </w:tcMar>
            <w:vAlign w:val="center"/>
          </w:tcPr>
          <w:p w14:paraId="0F64CF65" w14:textId="1F637CD3" w:rsidR="00CA6D7B" w:rsidRDefault="00CA6D7B" w:rsidP="006D11A5">
            <w:pPr>
              <w:spacing w:line="240" w:lineRule="auto"/>
              <w:rPr>
                <w:rFonts w:eastAsia="Times New Roman"/>
                <w:i/>
                <w:sz w:val="20"/>
                <w:szCs w:val="20"/>
              </w:rPr>
            </w:pPr>
            <w:r>
              <w:rPr>
                <w:rFonts w:eastAsia="Times New Roman"/>
                <w:i/>
                <w:sz w:val="20"/>
                <w:szCs w:val="20"/>
              </w:rPr>
              <w:t xml:space="preserve">Hancock Marsh </w:t>
            </w:r>
            <w:proofErr w:type="spellStart"/>
            <w:r>
              <w:rPr>
                <w:rFonts w:eastAsia="Times New Roman"/>
                <w:i/>
                <w:sz w:val="20"/>
                <w:szCs w:val="20"/>
              </w:rPr>
              <w:t>Edge.json</w:t>
            </w:r>
            <w:proofErr w:type="spellEnd"/>
          </w:p>
          <w:p w14:paraId="297506B2" w14:textId="77777777" w:rsidR="00CA6D7B" w:rsidRPr="001E09C4" w:rsidRDefault="00CA6D7B" w:rsidP="006D11A5">
            <w:pPr>
              <w:spacing w:line="240" w:lineRule="auto"/>
              <w:rPr>
                <w:rFonts w:eastAsia="Times New Roman"/>
                <w:i/>
                <w:sz w:val="20"/>
                <w:szCs w:val="20"/>
              </w:rPr>
            </w:pPr>
            <w:r>
              <w:rPr>
                <w:rFonts w:eastAsia="Times New Roman"/>
                <w:i/>
                <w:sz w:val="20"/>
                <w:szCs w:val="20"/>
              </w:rPr>
              <w:t>(well-calibrated NME)</w:t>
            </w:r>
          </w:p>
        </w:tc>
        <w:tc>
          <w:tcPr>
            <w:tcW w:w="1050" w:type="dxa"/>
            <w:shd w:val="clear" w:color="auto" w:fill="FFFF99"/>
            <w:noWrap/>
            <w:tcMar>
              <w:top w:w="29" w:type="dxa"/>
              <w:left w:w="58" w:type="dxa"/>
              <w:bottom w:w="29" w:type="dxa"/>
              <w:right w:w="58" w:type="dxa"/>
            </w:tcMar>
            <w:vAlign w:val="center"/>
          </w:tcPr>
          <w:p w14:paraId="098EAC90" w14:textId="38B89BBA" w:rsidR="00CA6D7B" w:rsidRPr="001E515B" w:rsidRDefault="00CA6D7B" w:rsidP="00CB3941">
            <w:pPr>
              <w:spacing w:line="240" w:lineRule="auto"/>
              <w:rPr>
                <w:rFonts w:eastAsia="Times New Roman"/>
                <w:sz w:val="20"/>
                <w:szCs w:val="20"/>
              </w:rPr>
            </w:pPr>
            <w:r>
              <w:rPr>
                <w:rFonts w:eastAsia="Times New Roman"/>
                <w:sz w:val="20"/>
                <w:szCs w:val="20"/>
              </w:rPr>
              <w:t>Nearshore Marine Marsh Edge</w:t>
            </w:r>
          </w:p>
        </w:tc>
        <w:tc>
          <w:tcPr>
            <w:tcW w:w="1080" w:type="dxa"/>
            <w:shd w:val="clear" w:color="auto" w:fill="FFFF99"/>
            <w:tcMar>
              <w:top w:w="29" w:type="dxa"/>
              <w:left w:w="115" w:type="dxa"/>
              <w:bottom w:w="29" w:type="dxa"/>
              <w:right w:w="115" w:type="dxa"/>
            </w:tcMar>
            <w:vAlign w:val="center"/>
          </w:tcPr>
          <w:p w14:paraId="417ED83E" w14:textId="77777777" w:rsidR="00CA6D7B" w:rsidRPr="001E515B" w:rsidRDefault="00CA6D7B" w:rsidP="007C7B86">
            <w:pPr>
              <w:spacing w:line="240" w:lineRule="auto"/>
              <w:rPr>
                <w:rFonts w:eastAsia="Times New Roman"/>
                <w:sz w:val="20"/>
                <w:szCs w:val="20"/>
              </w:rPr>
            </w:pPr>
            <w:r>
              <w:rPr>
                <w:rFonts w:eastAsia="Times New Roman"/>
                <w:sz w:val="20"/>
                <w:szCs w:val="20"/>
              </w:rPr>
              <w:t>MS Sound</w:t>
            </w:r>
          </w:p>
        </w:tc>
        <w:tc>
          <w:tcPr>
            <w:tcW w:w="5280" w:type="dxa"/>
            <w:shd w:val="clear" w:color="auto" w:fill="FFFF99"/>
            <w:tcMar>
              <w:top w:w="29" w:type="dxa"/>
              <w:left w:w="115" w:type="dxa"/>
              <w:bottom w:w="29" w:type="dxa"/>
              <w:right w:w="115" w:type="dxa"/>
            </w:tcMar>
            <w:vAlign w:val="center"/>
          </w:tcPr>
          <w:p w14:paraId="77B554A0" w14:textId="77777777" w:rsidR="00CA6D7B" w:rsidRPr="001E515B" w:rsidRDefault="00CA6D7B" w:rsidP="001B7EF5">
            <w:pPr>
              <w:spacing w:line="240" w:lineRule="auto"/>
              <w:rPr>
                <w:rFonts w:eastAsia="Times New Roman"/>
                <w:sz w:val="20"/>
                <w:szCs w:val="20"/>
              </w:rPr>
            </w:pPr>
            <w:r>
              <w:rPr>
                <w:rFonts w:eastAsia="Times New Roman"/>
                <w:sz w:val="20"/>
                <w:szCs w:val="20"/>
              </w:rPr>
              <w:t xml:space="preserve">Extensive fish and invertebrate biomass data are available for Hancock County marsh through the work of Larsen (2006).  Predictions from the derived marsh-edge food-web model were compared to these data sets. </w:t>
            </w:r>
            <w:r w:rsidRPr="00082D94">
              <w:rPr>
                <w:rFonts w:eastAsia="Times New Roman"/>
                <w:sz w:val="20"/>
                <w:szCs w:val="20"/>
              </w:rPr>
              <w:t>(Blancher 2017)</w:t>
            </w:r>
          </w:p>
        </w:tc>
      </w:tr>
      <w:tr w:rsidR="00CA6D7B" w:rsidRPr="001E515B" w14:paraId="6D589A7F" w14:textId="77777777" w:rsidTr="00CA6D7B">
        <w:trPr>
          <w:cantSplit/>
          <w:trHeight w:val="1008"/>
        </w:trPr>
        <w:tc>
          <w:tcPr>
            <w:tcW w:w="2095" w:type="dxa"/>
            <w:shd w:val="clear" w:color="auto" w:fill="FFCC66"/>
            <w:noWrap/>
            <w:tcMar>
              <w:top w:w="29" w:type="dxa"/>
              <w:left w:w="115" w:type="dxa"/>
              <w:bottom w:w="29" w:type="dxa"/>
              <w:right w:w="115" w:type="dxa"/>
            </w:tcMar>
            <w:vAlign w:val="center"/>
          </w:tcPr>
          <w:p w14:paraId="795E186B" w14:textId="2A3BEAF9"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Blue Earth </w:t>
            </w:r>
            <w:proofErr w:type="spellStart"/>
            <w:r w:rsidRPr="001E09C4">
              <w:rPr>
                <w:rFonts w:eastAsia="Times New Roman"/>
                <w:i/>
                <w:sz w:val="20"/>
                <w:szCs w:val="20"/>
              </w:rPr>
              <w:t>R.MN</w:t>
            </w:r>
            <w:r>
              <w:rPr>
                <w:rFonts w:eastAsia="Times New Roman"/>
                <w:i/>
                <w:sz w:val="20"/>
                <w:szCs w:val="20"/>
              </w:rPr>
              <w:t>.json</w:t>
            </w:r>
            <w:proofErr w:type="spellEnd"/>
          </w:p>
          <w:p w14:paraId="29DBC858" w14:textId="77777777" w:rsidR="00CA6D7B" w:rsidRPr="00EF0D0F" w:rsidRDefault="00CA6D7B" w:rsidP="00CB3941">
            <w:pPr>
              <w:spacing w:line="240" w:lineRule="auto"/>
              <w:rPr>
                <w:rFonts w:eastAsia="Times New Roman"/>
                <w:i/>
                <w:sz w:val="20"/>
                <w:szCs w:val="20"/>
              </w:rPr>
            </w:pPr>
            <w:r w:rsidRPr="00EF0D0F">
              <w:rPr>
                <w:rFonts w:eastAsia="Times New Roman"/>
                <w:i/>
                <w:sz w:val="20"/>
                <w:szCs w:val="20"/>
              </w:rPr>
              <w:t>(well-calibrated nutrient)</w:t>
            </w:r>
          </w:p>
          <w:p w14:paraId="6FA1B21B" w14:textId="652441C7"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Blue Earth R.MN BMP </w:t>
            </w:r>
            <w:proofErr w:type="spellStart"/>
            <w:r w:rsidRPr="001E09C4">
              <w:rPr>
                <w:rFonts w:eastAsia="Times New Roman"/>
                <w:i/>
                <w:sz w:val="20"/>
                <w:szCs w:val="20"/>
              </w:rPr>
              <w:t>Criteria</w:t>
            </w:r>
            <w:r>
              <w:rPr>
                <w:rFonts w:eastAsia="Times New Roman"/>
                <w:i/>
                <w:sz w:val="20"/>
                <w:szCs w:val="20"/>
              </w:rPr>
              <w:t>.json</w:t>
            </w:r>
            <w:proofErr w:type="spellEnd"/>
          </w:p>
        </w:tc>
        <w:tc>
          <w:tcPr>
            <w:tcW w:w="1050" w:type="dxa"/>
            <w:shd w:val="clear" w:color="auto" w:fill="FFCC66"/>
            <w:noWrap/>
            <w:tcMar>
              <w:top w:w="29" w:type="dxa"/>
              <w:left w:w="58" w:type="dxa"/>
              <w:bottom w:w="29" w:type="dxa"/>
              <w:right w:w="58" w:type="dxa"/>
            </w:tcMar>
            <w:vAlign w:val="center"/>
          </w:tcPr>
          <w:p w14:paraId="293AA35B"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River</w:t>
            </w:r>
          </w:p>
        </w:tc>
        <w:tc>
          <w:tcPr>
            <w:tcW w:w="1080" w:type="dxa"/>
            <w:shd w:val="clear" w:color="auto" w:fill="FFCC66"/>
            <w:tcMar>
              <w:top w:w="29" w:type="dxa"/>
              <w:left w:w="115" w:type="dxa"/>
              <w:bottom w:w="29" w:type="dxa"/>
              <w:right w:w="115" w:type="dxa"/>
            </w:tcMar>
            <w:vAlign w:val="center"/>
          </w:tcPr>
          <w:p w14:paraId="4999A31D"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Southern MN</w:t>
            </w:r>
          </w:p>
        </w:tc>
        <w:tc>
          <w:tcPr>
            <w:tcW w:w="5280" w:type="dxa"/>
            <w:shd w:val="clear" w:color="auto" w:fill="FFCC66"/>
            <w:tcMar>
              <w:top w:w="29" w:type="dxa"/>
              <w:left w:w="115" w:type="dxa"/>
              <w:bottom w:w="29" w:type="dxa"/>
              <w:right w:w="115" w:type="dxa"/>
            </w:tcMar>
            <w:vAlign w:val="center"/>
          </w:tcPr>
          <w:p w14:paraId="339DDDE5"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The Blue Earth River drains a watershed in the</w:t>
            </w:r>
            <w:r w:rsidRPr="001E515B">
              <w:rPr>
                <w:rFonts w:ascii="Times New Roman" w:eastAsia="MS PGothic" w:hAnsi="Times New Roman" w:cs="Times New Roman"/>
                <w:lang w:eastAsia="ja-JP" w:bidi="en-US"/>
              </w:rPr>
              <w:t xml:space="preserve"> </w:t>
            </w:r>
            <w:r w:rsidRPr="001E515B">
              <w:rPr>
                <w:rFonts w:eastAsia="Times New Roman"/>
                <w:sz w:val="20"/>
                <w:szCs w:val="20"/>
                <w:lang w:bidi="en-US"/>
              </w:rPr>
              <w:t>Western Corn Belt Plains ecoregion</w:t>
            </w:r>
            <w:r w:rsidRPr="001E515B">
              <w:rPr>
                <w:rFonts w:eastAsia="Times New Roman"/>
                <w:sz w:val="20"/>
                <w:szCs w:val="20"/>
              </w:rPr>
              <w:t xml:space="preserve"> that is 95% agricultural, planted in corn and soybeans.  Suspended sediments are important most of the time; otherwise, algal blooms predominate.</w:t>
            </w:r>
          </w:p>
          <w:p w14:paraId="4A56571C"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 xml:space="preserve">Study set up to </w:t>
            </w:r>
            <w:r>
              <w:rPr>
                <w:rFonts w:eastAsia="Times New Roman"/>
                <w:sz w:val="20"/>
                <w:szCs w:val="20"/>
              </w:rPr>
              <w:t>evaluate</w:t>
            </w:r>
            <w:r w:rsidRPr="001E515B">
              <w:rPr>
                <w:rFonts w:eastAsia="Times New Roman"/>
                <w:sz w:val="20"/>
                <w:szCs w:val="20"/>
              </w:rPr>
              <w:t xml:space="preserve"> nutrient reduction due to best management practices (BMPs).</w:t>
            </w:r>
          </w:p>
        </w:tc>
      </w:tr>
      <w:tr w:rsidR="00CA6D7B" w:rsidRPr="001E515B" w14:paraId="0CB3219D" w14:textId="77777777" w:rsidTr="00CA6D7B">
        <w:trPr>
          <w:cantSplit/>
          <w:trHeight w:val="510"/>
        </w:trPr>
        <w:tc>
          <w:tcPr>
            <w:tcW w:w="2095" w:type="dxa"/>
            <w:shd w:val="clear" w:color="auto" w:fill="FFCC66"/>
            <w:noWrap/>
            <w:tcMar>
              <w:top w:w="29" w:type="dxa"/>
              <w:left w:w="115" w:type="dxa"/>
              <w:bottom w:w="29" w:type="dxa"/>
              <w:right w:w="115" w:type="dxa"/>
            </w:tcMar>
            <w:vAlign w:val="center"/>
          </w:tcPr>
          <w:p w14:paraId="7B2BE55B" w14:textId="7D1DFD0B"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Cahaba R </w:t>
            </w:r>
            <w:proofErr w:type="spellStart"/>
            <w:r w:rsidRPr="001E09C4">
              <w:rPr>
                <w:rFonts w:eastAsia="Times New Roman"/>
                <w:i/>
                <w:sz w:val="20"/>
                <w:szCs w:val="20"/>
              </w:rPr>
              <w:t>AL</w:t>
            </w:r>
            <w:r>
              <w:rPr>
                <w:rFonts w:eastAsia="Times New Roman"/>
                <w:i/>
                <w:sz w:val="20"/>
                <w:szCs w:val="20"/>
              </w:rPr>
              <w:t>.json</w:t>
            </w:r>
            <w:proofErr w:type="spellEnd"/>
          </w:p>
          <w:p w14:paraId="5E0AD190" w14:textId="77777777" w:rsidR="00CA6D7B" w:rsidRPr="001E09C4" w:rsidRDefault="00CA6D7B" w:rsidP="00CB3941">
            <w:pPr>
              <w:spacing w:line="240" w:lineRule="auto"/>
              <w:rPr>
                <w:rFonts w:eastAsia="Times New Roman"/>
                <w:i/>
                <w:sz w:val="20"/>
                <w:szCs w:val="20"/>
              </w:rPr>
            </w:pPr>
          </w:p>
          <w:p w14:paraId="601664BE" w14:textId="77777777" w:rsidR="00CA6D7B" w:rsidRPr="00EF0D0F" w:rsidRDefault="00CA6D7B" w:rsidP="00CB3941">
            <w:pPr>
              <w:spacing w:line="240" w:lineRule="auto"/>
              <w:rPr>
                <w:rFonts w:eastAsia="Times New Roman"/>
                <w:i/>
                <w:sz w:val="20"/>
                <w:szCs w:val="20"/>
              </w:rPr>
            </w:pPr>
            <w:r w:rsidRPr="00EF0D0F">
              <w:rPr>
                <w:rFonts w:eastAsia="Times New Roman"/>
                <w:i/>
                <w:sz w:val="20"/>
                <w:szCs w:val="20"/>
              </w:rPr>
              <w:t>(well-calibrated nutrient)</w:t>
            </w:r>
          </w:p>
          <w:p w14:paraId="5623A849" w14:textId="3FB2C573"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Cahaba R AL X2 </w:t>
            </w:r>
            <w:proofErr w:type="spellStart"/>
            <w:r w:rsidRPr="001E09C4">
              <w:rPr>
                <w:rFonts w:eastAsia="Times New Roman"/>
                <w:i/>
                <w:sz w:val="20"/>
                <w:szCs w:val="20"/>
              </w:rPr>
              <w:t>TSS</w:t>
            </w:r>
            <w:r>
              <w:rPr>
                <w:rFonts w:eastAsia="Times New Roman"/>
                <w:i/>
                <w:sz w:val="20"/>
                <w:szCs w:val="20"/>
              </w:rPr>
              <w:t>.json</w:t>
            </w:r>
            <w:proofErr w:type="spellEnd"/>
          </w:p>
        </w:tc>
        <w:tc>
          <w:tcPr>
            <w:tcW w:w="1050" w:type="dxa"/>
            <w:shd w:val="clear" w:color="auto" w:fill="FFCC66"/>
            <w:noWrap/>
            <w:tcMar>
              <w:top w:w="29" w:type="dxa"/>
              <w:left w:w="58" w:type="dxa"/>
              <w:bottom w:w="29" w:type="dxa"/>
              <w:right w:w="58" w:type="dxa"/>
            </w:tcMar>
            <w:vAlign w:val="center"/>
          </w:tcPr>
          <w:p w14:paraId="30FBDB80"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River</w:t>
            </w:r>
          </w:p>
        </w:tc>
        <w:tc>
          <w:tcPr>
            <w:tcW w:w="1080" w:type="dxa"/>
            <w:shd w:val="clear" w:color="auto" w:fill="FFCC66"/>
            <w:tcMar>
              <w:top w:w="29" w:type="dxa"/>
              <w:left w:w="115" w:type="dxa"/>
              <w:bottom w:w="29" w:type="dxa"/>
              <w:right w:w="115" w:type="dxa"/>
            </w:tcMar>
            <w:vAlign w:val="center"/>
          </w:tcPr>
          <w:p w14:paraId="49209551" w14:textId="77777777" w:rsidR="00CA6D7B" w:rsidRPr="001E515B" w:rsidRDefault="00CA6D7B" w:rsidP="00CB3941">
            <w:pPr>
              <w:spacing w:line="240" w:lineRule="auto"/>
              <w:rPr>
                <w:rFonts w:eastAsia="Times New Roman"/>
                <w:sz w:val="20"/>
                <w:szCs w:val="20"/>
              </w:rPr>
            </w:pPr>
            <w:r>
              <w:rPr>
                <w:rFonts w:eastAsia="Times New Roman"/>
                <w:sz w:val="20"/>
                <w:szCs w:val="20"/>
              </w:rPr>
              <w:t>N</w:t>
            </w:r>
            <w:r w:rsidRPr="001E515B">
              <w:rPr>
                <w:rFonts w:eastAsia="Times New Roman"/>
                <w:sz w:val="20"/>
                <w:szCs w:val="20"/>
              </w:rPr>
              <w:t>ear Birming</w:t>
            </w:r>
            <w:r>
              <w:rPr>
                <w:rFonts w:eastAsia="Times New Roman"/>
                <w:sz w:val="20"/>
                <w:szCs w:val="20"/>
              </w:rPr>
              <w:t>-</w:t>
            </w:r>
            <w:r w:rsidRPr="001E515B">
              <w:rPr>
                <w:rFonts w:eastAsia="Times New Roman"/>
                <w:sz w:val="20"/>
                <w:szCs w:val="20"/>
              </w:rPr>
              <w:t>ham A</w:t>
            </w:r>
            <w:r>
              <w:rPr>
                <w:rFonts w:eastAsia="Times New Roman"/>
                <w:sz w:val="20"/>
                <w:szCs w:val="20"/>
              </w:rPr>
              <w:t>L</w:t>
            </w:r>
          </w:p>
        </w:tc>
        <w:tc>
          <w:tcPr>
            <w:tcW w:w="5280" w:type="dxa"/>
            <w:shd w:val="clear" w:color="auto" w:fill="FFCC66"/>
            <w:tcMar>
              <w:top w:w="29" w:type="dxa"/>
              <w:left w:w="115" w:type="dxa"/>
              <w:bottom w:w="29" w:type="dxa"/>
              <w:right w:w="115" w:type="dxa"/>
            </w:tcMar>
            <w:vAlign w:val="center"/>
          </w:tcPr>
          <w:p w14:paraId="54775E5F"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 xml:space="preserve">A shallow stream incised in the southern Appalachians, located in a rapidly urbanizing area and receiving effluent from wastewater treatment plants.  Good </w:t>
            </w:r>
            <w:r>
              <w:rPr>
                <w:rFonts w:eastAsia="Times New Roman"/>
                <w:sz w:val="20"/>
                <w:szCs w:val="20"/>
              </w:rPr>
              <w:t>calibration</w:t>
            </w:r>
            <w:r w:rsidRPr="001E515B">
              <w:rPr>
                <w:rFonts w:eastAsia="Times New Roman"/>
                <w:sz w:val="20"/>
                <w:szCs w:val="20"/>
              </w:rPr>
              <w:t xml:space="preserve"> data on periphyton, invertebrates, and fish.</w:t>
            </w:r>
          </w:p>
          <w:p w14:paraId="026C3829"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TSS is doubled to demonstrate embeddedness and impact on zoobenthos; it also decreases periphyton growth and speeds up simulation.</w:t>
            </w:r>
          </w:p>
        </w:tc>
      </w:tr>
      <w:tr w:rsidR="00CA6D7B" w:rsidRPr="001E515B" w14:paraId="7D72E02D" w14:textId="77777777" w:rsidTr="00CA6D7B">
        <w:trPr>
          <w:cantSplit/>
          <w:trHeight w:val="510"/>
        </w:trPr>
        <w:tc>
          <w:tcPr>
            <w:tcW w:w="2095" w:type="dxa"/>
            <w:shd w:val="clear" w:color="auto" w:fill="FFCC66"/>
            <w:noWrap/>
            <w:tcMar>
              <w:top w:w="29" w:type="dxa"/>
              <w:left w:w="115" w:type="dxa"/>
              <w:bottom w:w="29" w:type="dxa"/>
              <w:right w:w="115" w:type="dxa"/>
            </w:tcMar>
            <w:vAlign w:val="center"/>
          </w:tcPr>
          <w:p w14:paraId="4F1D37AA" w14:textId="77777777" w:rsidR="00CA6D7B" w:rsidRPr="001E09C4" w:rsidRDefault="00CA6D7B" w:rsidP="00CB3941">
            <w:pPr>
              <w:spacing w:line="240" w:lineRule="auto"/>
              <w:rPr>
                <w:rFonts w:eastAsia="Times New Roman"/>
                <w:i/>
                <w:sz w:val="20"/>
                <w:szCs w:val="20"/>
              </w:rPr>
            </w:pPr>
          </w:p>
          <w:p w14:paraId="2EED44FF" w14:textId="65430C7A"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Crow Wing R. </w:t>
            </w:r>
            <w:proofErr w:type="spellStart"/>
            <w:r w:rsidRPr="001E09C4">
              <w:rPr>
                <w:rFonts w:eastAsia="Times New Roman"/>
                <w:i/>
                <w:sz w:val="20"/>
                <w:szCs w:val="20"/>
              </w:rPr>
              <w:t>MN</w:t>
            </w:r>
            <w:r>
              <w:rPr>
                <w:rFonts w:eastAsia="Times New Roman"/>
                <w:i/>
                <w:sz w:val="20"/>
                <w:szCs w:val="20"/>
              </w:rPr>
              <w:t>.json</w:t>
            </w:r>
            <w:proofErr w:type="spellEnd"/>
          </w:p>
          <w:p w14:paraId="5F7CC9CB" w14:textId="77777777" w:rsidR="00CA6D7B" w:rsidRPr="001E09C4" w:rsidRDefault="00CA6D7B" w:rsidP="00CB3941">
            <w:pPr>
              <w:spacing w:line="240" w:lineRule="auto"/>
              <w:rPr>
                <w:rFonts w:eastAsia="Times New Roman"/>
                <w:i/>
                <w:sz w:val="20"/>
                <w:szCs w:val="20"/>
              </w:rPr>
            </w:pPr>
            <w:r w:rsidRPr="00EF0D0F">
              <w:rPr>
                <w:rFonts w:eastAsia="Times New Roman"/>
                <w:i/>
                <w:sz w:val="20"/>
                <w:szCs w:val="20"/>
              </w:rPr>
              <w:t>(well-calibrated nutrient)</w:t>
            </w:r>
          </w:p>
        </w:tc>
        <w:tc>
          <w:tcPr>
            <w:tcW w:w="1050" w:type="dxa"/>
            <w:shd w:val="clear" w:color="auto" w:fill="FFCC66"/>
            <w:noWrap/>
            <w:tcMar>
              <w:top w:w="29" w:type="dxa"/>
              <w:left w:w="58" w:type="dxa"/>
              <w:bottom w:w="29" w:type="dxa"/>
              <w:right w:w="58" w:type="dxa"/>
            </w:tcMar>
            <w:vAlign w:val="center"/>
          </w:tcPr>
          <w:p w14:paraId="515664CF"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River</w:t>
            </w:r>
          </w:p>
        </w:tc>
        <w:tc>
          <w:tcPr>
            <w:tcW w:w="1080" w:type="dxa"/>
            <w:shd w:val="clear" w:color="auto" w:fill="FFCC66"/>
            <w:tcMar>
              <w:top w:w="29" w:type="dxa"/>
              <w:left w:w="115" w:type="dxa"/>
              <w:bottom w:w="29" w:type="dxa"/>
              <w:right w:w="115" w:type="dxa"/>
            </w:tcMar>
            <w:vAlign w:val="center"/>
          </w:tcPr>
          <w:p w14:paraId="7A6640E6" w14:textId="77777777" w:rsidR="00CA6D7B" w:rsidRPr="001E515B" w:rsidRDefault="00CA6D7B" w:rsidP="00CB3941">
            <w:pPr>
              <w:spacing w:line="240" w:lineRule="auto"/>
              <w:rPr>
                <w:rFonts w:eastAsia="Times New Roman"/>
                <w:sz w:val="20"/>
                <w:szCs w:val="20"/>
              </w:rPr>
            </w:pPr>
            <w:r>
              <w:rPr>
                <w:rFonts w:eastAsia="Times New Roman"/>
                <w:sz w:val="20"/>
                <w:szCs w:val="20"/>
              </w:rPr>
              <w:t>N</w:t>
            </w:r>
            <w:r w:rsidRPr="001E515B">
              <w:rPr>
                <w:rFonts w:eastAsia="Times New Roman"/>
                <w:sz w:val="20"/>
                <w:szCs w:val="20"/>
              </w:rPr>
              <w:t>orth central MN</w:t>
            </w:r>
          </w:p>
        </w:tc>
        <w:tc>
          <w:tcPr>
            <w:tcW w:w="5280" w:type="dxa"/>
            <w:shd w:val="clear" w:color="auto" w:fill="FFCC66"/>
            <w:tcMar>
              <w:top w:w="29" w:type="dxa"/>
              <w:left w:w="115" w:type="dxa"/>
              <w:bottom w:w="29" w:type="dxa"/>
              <w:right w:w="115" w:type="dxa"/>
            </w:tcMar>
            <w:vAlign w:val="center"/>
          </w:tcPr>
          <w:p w14:paraId="5B198792"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Shallow, relatively low-nutrient river that drains a predominantly forested watershed in the Northern Lakes and Forests ecoregion.  Mile 72 is in the headwaters and drains numerous small lakes.</w:t>
            </w:r>
          </w:p>
        </w:tc>
      </w:tr>
      <w:tr w:rsidR="00CA6D7B" w:rsidRPr="001E515B" w14:paraId="29839C3B" w14:textId="77777777" w:rsidTr="00CA6D7B">
        <w:trPr>
          <w:cantSplit/>
          <w:trHeight w:val="255"/>
        </w:trPr>
        <w:tc>
          <w:tcPr>
            <w:tcW w:w="2095" w:type="dxa"/>
            <w:tcBorders>
              <w:bottom w:val="single" w:sz="4" w:space="0" w:color="auto"/>
            </w:tcBorders>
            <w:shd w:val="clear" w:color="auto" w:fill="FFCC66"/>
            <w:noWrap/>
            <w:tcMar>
              <w:top w:w="29" w:type="dxa"/>
              <w:left w:w="115" w:type="dxa"/>
              <w:bottom w:w="29" w:type="dxa"/>
              <w:right w:w="115" w:type="dxa"/>
            </w:tcMar>
            <w:vAlign w:val="center"/>
          </w:tcPr>
          <w:p w14:paraId="1A4E5A6C" w14:textId="41EA86A4" w:rsidR="00CA6D7B" w:rsidRPr="001E09C4" w:rsidRDefault="00CA6D7B" w:rsidP="00CB3941">
            <w:pPr>
              <w:spacing w:line="240" w:lineRule="auto"/>
              <w:rPr>
                <w:rFonts w:eastAsia="Times New Roman"/>
                <w:i/>
                <w:sz w:val="20"/>
                <w:szCs w:val="20"/>
              </w:rPr>
            </w:pPr>
            <w:r w:rsidRPr="001E09C4">
              <w:rPr>
                <w:rFonts w:eastAsia="Times New Roman"/>
                <w:i/>
                <w:sz w:val="20"/>
                <w:szCs w:val="20"/>
              </w:rPr>
              <w:lastRenderedPageBreak/>
              <w:t xml:space="preserve">Lake George </w:t>
            </w:r>
            <w:proofErr w:type="spellStart"/>
            <w:r w:rsidRPr="001E09C4">
              <w:rPr>
                <w:rFonts w:eastAsia="Times New Roman"/>
                <w:i/>
                <w:sz w:val="20"/>
                <w:szCs w:val="20"/>
              </w:rPr>
              <w:t>NY</w:t>
            </w:r>
            <w:r>
              <w:rPr>
                <w:rFonts w:eastAsia="Times New Roman"/>
                <w:i/>
                <w:sz w:val="20"/>
                <w:szCs w:val="20"/>
              </w:rPr>
              <w:t>.json</w:t>
            </w:r>
            <w:proofErr w:type="spellEnd"/>
          </w:p>
          <w:p w14:paraId="4AEF8FC4" w14:textId="4BC9DD05" w:rsidR="00CA6D7B" w:rsidRPr="001E09C4" w:rsidRDefault="00CA6D7B" w:rsidP="00CB3941">
            <w:pPr>
              <w:spacing w:line="240" w:lineRule="auto"/>
              <w:rPr>
                <w:rFonts w:eastAsia="Times New Roman"/>
                <w:i/>
                <w:sz w:val="20"/>
                <w:szCs w:val="20"/>
              </w:rPr>
            </w:pPr>
            <w:r w:rsidRPr="00EF0D0F">
              <w:rPr>
                <w:rFonts w:eastAsia="Times New Roman"/>
                <w:i/>
                <w:sz w:val="20"/>
                <w:szCs w:val="20"/>
              </w:rPr>
              <w:t>(Well-calibrated nutrient)</w:t>
            </w:r>
            <w:r>
              <w:rPr>
                <w:rFonts w:eastAsia="Times New Roman"/>
                <w:i/>
                <w:sz w:val="20"/>
                <w:szCs w:val="20"/>
              </w:rPr>
              <w:br/>
            </w:r>
            <w:r w:rsidRPr="001E09C4">
              <w:rPr>
                <w:rFonts w:eastAsia="Times New Roman"/>
                <w:i/>
                <w:sz w:val="14"/>
                <w:szCs w:val="20"/>
              </w:rPr>
              <w:br/>
            </w:r>
          </w:p>
        </w:tc>
        <w:tc>
          <w:tcPr>
            <w:tcW w:w="1050" w:type="dxa"/>
            <w:tcBorders>
              <w:bottom w:val="single" w:sz="4" w:space="0" w:color="auto"/>
            </w:tcBorders>
            <w:shd w:val="clear" w:color="auto" w:fill="FFCC66"/>
            <w:noWrap/>
            <w:tcMar>
              <w:top w:w="29" w:type="dxa"/>
              <w:left w:w="58" w:type="dxa"/>
              <w:bottom w:w="29" w:type="dxa"/>
              <w:right w:w="58" w:type="dxa"/>
            </w:tcMar>
            <w:vAlign w:val="center"/>
          </w:tcPr>
          <w:p w14:paraId="636B2453"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Lake</w:t>
            </w:r>
          </w:p>
        </w:tc>
        <w:tc>
          <w:tcPr>
            <w:tcW w:w="1080" w:type="dxa"/>
            <w:tcBorders>
              <w:bottom w:val="single" w:sz="4" w:space="0" w:color="auto"/>
            </w:tcBorders>
            <w:shd w:val="clear" w:color="auto" w:fill="FFCC66"/>
            <w:tcMar>
              <w:top w:w="29" w:type="dxa"/>
              <w:left w:w="115" w:type="dxa"/>
              <w:bottom w:w="29" w:type="dxa"/>
              <w:right w:w="115" w:type="dxa"/>
            </w:tcMar>
            <w:vAlign w:val="center"/>
          </w:tcPr>
          <w:p w14:paraId="205D60FE"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Upstate NY</w:t>
            </w:r>
          </w:p>
        </w:tc>
        <w:tc>
          <w:tcPr>
            <w:tcW w:w="5280" w:type="dxa"/>
            <w:tcBorders>
              <w:bottom w:val="single" w:sz="4" w:space="0" w:color="auto"/>
            </w:tcBorders>
            <w:shd w:val="clear" w:color="auto" w:fill="FFCC66"/>
            <w:tcMar>
              <w:top w:w="29" w:type="dxa"/>
              <w:left w:w="115" w:type="dxa"/>
              <w:bottom w:w="29" w:type="dxa"/>
              <w:right w:w="115" w:type="dxa"/>
            </w:tcMar>
            <w:vAlign w:val="center"/>
          </w:tcPr>
          <w:p w14:paraId="3540E3D3" w14:textId="77777777" w:rsidR="00CA6D7B" w:rsidRDefault="00CA6D7B" w:rsidP="00CB3941">
            <w:pPr>
              <w:spacing w:line="240" w:lineRule="auto"/>
              <w:rPr>
                <w:rFonts w:eastAsia="Times New Roman"/>
                <w:sz w:val="20"/>
                <w:szCs w:val="20"/>
              </w:rPr>
            </w:pPr>
            <w:r w:rsidRPr="001E515B">
              <w:rPr>
                <w:rFonts w:eastAsia="Times New Roman"/>
                <w:sz w:val="20"/>
                <w:szCs w:val="20"/>
              </w:rPr>
              <w:t>Mesotrophic end of large, deep lake in Adirondacks.</w:t>
            </w:r>
          </w:p>
          <w:p w14:paraId="1570F56A" w14:textId="1A30D3F9" w:rsidR="00CA6D7B" w:rsidRPr="001E515B" w:rsidRDefault="00CA6D7B" w:rsidP="00CB3941">
            <w:pPr>
              <w:spacing w:line="240" w:lineRule="auto"/>
              <w:rPr>
                <w:rFonts w:eastAsia="Times New Roman"/>
                <w:sz w:val="20"/>
                <w:szCs w:val="20"/>
              </w:rPr>
            </w:pPr>
          </w:p>
        </w:tc>
      </w:tr>
      <w:tr w:rsidR="00CA6D7B" w:rsidRPr="001E515B" w14:paraId="6B68A686" w14:textId="77777777" w:rsidTr="00CA6D7B">
        <w:trPr>
          <w:cantSplit/>
          <w:trHeight w:val="1530"/>
        </w:trPr>
        <w:tc>
          <w:tcPr>
            <w:tcW w:w="2095" w:type="dxa"/>
            <w:tcBorders>
              <w:bottom w:val="single" w:sz="4" w:space="0" w:color="auto"/>
            </w:tcBorders>
            <w:shd w:val="clear" w:color="auto" w:fill="FFCC66"/>
            <w:noWrap/>
            <w:tcMar>
              <w:top w:w="29" w:type="dxa"/>
              <w:left w:w="115" w:type="dxa"/>
              <w:bottom w:w="29" w:type="dxa"/>
              <w:right w:w="115" w:type="dxa"/>
            </w:tcMar>
            <w:vAlign w:val="center"/>
          </w:tcPr>
          <w:p w14:paraId="36A1E18A" w14:textId="00D928DC"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Onondaga Lake NY Sed </w:t>
            </w:r>
            <w:proofErr w:type="spellStart"/>
            <w:r w:rsidRPr="001E09C4">
              <w:rPr>
                <w:rFonts w:eastAsia="Times New Roman"/>
                <w:i/>
                <w:sz w:val="20"/>
                <w:szCs w:val="20"/>
              </w:rPr>
              <w:t>Diagenesis</w:t>
            </w:r>
            <w:r>
              <w:rPr>
                <w:rFonts w:eastAsia="Times New Roman"/>
                <w:i/>
                <w:sz w:val="20"/>
                <w:szCs w:val="20"/>
              </w:rPr>
              <w:t>.json</w:t>
            </w:r>
            <w:proofErr w:type="spellEnd"/>
          </w:p>
          <w:p w14:paraId="7B5633E3" w14:textId="77777777" w:rsidR="00CA6D7B" w:rsidRPr="00EF0D0F" w:rsidRDefault="00CA6D7B" w:rsidP="00CB3941">
            <w:pPr>
              <w:spacing w:line="240" w:lineRule="auto"/>
              <w:rPr>
                <w:rFonts w:eastAsia="Times New Roman"/>
                <w:i/>
                <w:sz w:val="20"/>
                <w:szCs w:val="20"/>
              </w:rPr>
            </w:pPr>
            <w:r w:rsidRPr="00EF0D0F">
              <w:rPr>
                <w:rFonts w:eastAsia="Times New Roman"/>
                <w:i/>
                <w:sz w:val="20"/>
                <w:szCs w:val="20"/>
              </w:rPr>
              <w:t>(Well-calibrated nutrient)</w:t>
            </w:r>
          </w:p>
          <w:p w14:paraId="35118A9F" w14:textId="77777777" w:rsidR="00CA6D7B" w:rsidRPr="001E09C4" w:rsidRDefault="00CA6D7B" w:rsidP="00CB3941">
            <w:pPr>
              <w:spacing w:line="240" w:lineRule="auto"/>
              <w:rPr>
                <w:rFonts w:eastAsia="Times New Roman"/>
                <w:i/>
                <w:sz w:val="20"/>
                <w:szCs w:val="20"/>
              </w:rPr>
            </w:pPr>
          </w:p>
        </w:tc>
        <w:tc>
          <w:tcPr>
            <w:tcW w:w="1050" w:type="dxa"/>
            <w:tcBorders>
              <w:bottom w:val="single" w:sz="4" w:space="0" w:color="auto"/>
            </w:tcBorders>
            <w:shd w:val="clear" w:color="auto" w:fill="FFCC66"/>
            <w:noWrap/>
            <w:tcMar>
              <w:top w:w="29" w:type="dxa"/>
              <w:left w:w="58" w:type="dxa"/>
              <w:bottom w:w="29" w:type="dxa"/>
              <w:right w:w="58" w:type="dxa"/>
            </w:tcMar>
            <w:vAlign w:val="center"/>
          </w:tcPr>
          <w:p w14:paraId="7CFFB2AD"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Lake</w:t>
            </w:r>
          </w:p>
        </w:tc>
        <w:tc>
          <w:tcPr>
            <w:tcW w:w="1080" w:type="dxa"/>
            <w:tcBorders>
              <w:bottom w:val="single" w:sz="4" w:space="0" w:color="auto"/>
            </w:tcBorders>
            <w:shd w:val="clear" w:color="auto" w:fill="FFCC66"/>
            <w:tcMar>
              <w:top w:w="29" w:type="dxa"/>
              <w:left w:w="115" w:type="dxa"/>
              <w:bottom w:w="29" w:type="dxa"/>
              <w:right w:w="115" w:type="dxa"/>
            </w:tcMar>
            <w:vAlign w:val="center"/>
          </w:tcPr>
          <w:p w14:paraId="78768A89" w14:textId="77777777" w:rsidR="00CA6D7B" w:rsidRPr="001E515B" w:rsidRDefault="00CA6D7B" w:rsidP="00CB3941">
            <w:pPr>
              <w:spacing w:line="240" w:lineRule="auto"/>
              <w:rPr>
                <w:rFonts w:eastAsia="Times New Roman"/>
                <w:sz w:val="20"/>
                <w:szCs w:val="20"/>
              </w:rPr>
            </w:pPr>
            <w:r>
              <w:rPr>
                <w:rFonts w:eastAsia="Times New Roman"/>
                <w:sz w:val="20"/>
                <w:szCs w:val="20"/>
              </w:rPr>
              <w:t>N</w:t>
            </w:r>
            <w:r w:rsidRPr="001E515B">
              <w:rPr>
                <w:rFonts w:eastAsia="Times New Roman"/>
                <w:sz w:val="20"/>
                <w:szCs w:val="20"/>
              </w:rPr>
              <w:t>orth of Syracuse NY</w:t>
            </w:r>
          </w:p>
        </w:tc>
        <w:tc>
          <w:tcPr>
            <w:tcW w:w="5280" w:type="dxa"/>
            <w:tcBorders>
              <w:bottom w:val="single" w:sz="4" w:space="0" w:color="auto"/>
            </w:tcBorders>
            <w:shd w:val="clear" w:color="auto" w:fill="FFCC66"/>
            <w:tcMar>
              <w:top w:w="29" w:type="dxa"/>
              <w:left w:w="115" w:type="dxa"/>
              <w:bottom w:w="29" w:type="dxa"/>
              <w:right w:w="115" w:type="dxa"/>
            </w:tcMar>
            <w:vAlign w:val="center"/>
          </w:tcPr>
          <w:p w14:paraId="4B71E4F0" w14:textId="77777777" w:rsidR="00CA6D7B" w:rsidRPr="001E515B" w:rsidRDefault="00CA6D7B" w:rsidP="003E668C">
            <w:pPr>
              <w:keepNext/>
              <w:keepLines/>
              <w:spacing w:line="240" w:lineRule="auto"/>
              <w:rPr>
                <w:rFonts w:eastAsia="Times New Roman"/>
                <w:sz w:val="20"/>
                <w:szCs w:val="20"/>
              </w:rPr>
            </w:pPr>
            <w:r w:rsidRPr="001E515B">
              <w:rPr>
                <w:rFonts w:eastAsia="Times New Roman"/>
                <w:sz w:val="20"/>
                <w:szCs w:val="20"/>
              </w:rPr>
              <w:t xml:space="preserve">“Lake Onondaga is arguably the most polluted lake in the United States” from the preface of a book </w:t>
            </w:r>
            <w:r w:rsidRPr="001E515B">
              <w:rPr>
                <w:rFonts w:eastAsia="Times New Roman"/>
                <w:sz w:val="20"/>
                <w:szCs w:val="20"/>
              </w:rPr>
              <w:fldChar w:fldCharType="begin"/>
            </w:r>
            <w:r>
              <w:rPr>
                <w:rFonts w:eastAsia="Times New Roman"/>
                <w:sz w:val="20"/>
                <w:szCs w:val="20"/>
              </w:rPr>
              <w:instrText xml:space="preserve"> ADDIN EN.CITE &lt;EndNote&gt;&lt;Cite&gt;&lt;Author&gt;Effler&lt;/Author&gt;&lt;Year&gt;1996&lt;/Year&gt;&lt;RecNum&gt;456&lt;/RecNum&gt;&lt;DisplayText&gt;(Effler 1996)&lt;/DisplayText&gt;&lt;record&gt;&lt;rec-number&gt;456&lt;/rec-number&gt;&lt;foreign-keys&gt;&lt;key app="EN" db-id="pa0fvtx0wtvp9ne5s0fpesexxdetsa0zrf9v" timestamp="0"&gt;456&lt;/key&gt;&lt;/foreign-keys&gt;&lt;ref-type name="Edited Book"&gt;28&lt;/ref-type&gt;&lt;contributors&gt;&lt;authors&gt;&lt;author&gt;Effler, Steven W.&lt;/author&gt;&lt;/authors&gt;&lt;secondary-authors&gt;&lt;author&gt;Alexander, David E.&lt;/author&gt;&lt;/secondary-authors&gt;&lt;/contributors&gt;&lt;titles&gt;&lt;title&gt;Limnological and Engineering Analysis of a Polluted Urban Lake&lt;/title&gt;&lt;/titles&gt;&lt;pages&gt;832&lt;/pages&gt;&lt;dates&gt;&lt;year&gt;1996&lt;/year&gt;&lt;/dates&gt;&lt;pub-location&gt;New York&lt;/pub-location&gt;&lt;publisher&gt;Springer&lt;/publisher&gt;&lt;urls&gt;&lt;/urls&gt;&lt;/record&gt;&lt;/Cite&gt;&lt;/EndNote&gt;</w:instrText>
            </w:r>
            <w:r w:rsidRPr="001E515B">
              <w:rPr>
                <w:rFonts w:eastAsia="Times New Roman"/>
                <w:sz w:val="20"/>
                <w:szCs w:val="20"/>
              </w:rPr>
              <w:fldChar w:fldCharType="separate"/>
            </w:r>
            <w:r>
              <w:rPr>
                <w:rFonts w:eastAsia="Times New Roman"/>
                <w:noProof/>
                <w:sz w:val="20"/>
                <w:szCs w:val="20"/>
              </w:rPr>
              <w:t>(</w:t>
            </w:r>
            <w:hyperlink w:anchor="_ENREF_3" w:tooltip="Effler, 1996 #456" w:history="1">
              <w:r>
                <w:rPr>
                  <w:rFonts w:eastAsia="Times New Roman"/>
                  <w:noProof/>
                  <w:sz w:val="20"/>
                  <w:szCs w:val="20"/>
                </w:rPr>
                <w:t>Effler 1996</w:t>
              </w:r>
            </w:hyperlink>
            <w:r>
              <w:rPr>
                <w:rFonts w:eastAsia="Times New Roman"/>
                <w:noProof/>
                <w:sz w:val="20"/>
                <w:szCs w:val="20"/>
              </w:rPr>
              <w:t>)</w:t>
            </w:r>
            <w:r w:rsidRPr="001E515B">
              <w:rPr>
                <w:rFonts w:eastAsia="Times New Roman"/>
                <w:sz w:val="20"/>
                <w:szCs w:val="20"/>
              </w:rPr>
              <w:fldChar w:fldCharType="end"/>
            </w:r>
            <w:r w:rsidRPr="001E515B">
              <w:rPr>
                <w:rFonts w:eastAsia="Times New Roman"/>
                <w:sz w:val="20"/>
                <w:szCs w:val="20"/>
              </w:rPr>
              <w:t>, which served as the source of data for this study. The lake has significant nutrient inputs from wastewater treatment plant (“Metro”) and combined sewers, successive algal blooms, hypoxia in hypolimnion, build-up of organic sediments in bottom, and high mercury levels and high salinity (the latter two are not modeled at present). Run with sediment diagenesis submodel (Di Toro 2001), with steady-state aerobic layers.</w:t>
            </w:r>
          </w:p>
        </w:tc>
      </w:tr>
      <w:tr w:rsidR="00CA6D7B" w:rsidRPr="001E515B" w14:paraId="04F8E842" w14:textId="77777777" w:rsidTr="00CA6D7B">
        <w:trPr>
          <w:cantSplit/>
          <w:trHeight w:val="765"/>
        </w:trPr>
        <w:tc>
          <w:tcPr>
            <w:tcW w:w="2095" w:type="dxa"/>
            <w:tcBorders>
              <w:bottom w:val="single" w:sz="4" w:space="0" w:color="auto"/>
            </w:tcBorders>
            <w:shd w:val="clear" w:color="auto" w:fill="FFCC66"/>
            <w:noWrap/>
            <w:tcMar>
              <w:top w:w="29" w:type="dxa"/>
              <w:left w:w="115" w:type="dxa"/>
              <w:bottom w:w="29" w:type="dxa"/>
              <w:right w:w="115" w:type="dxa"/>
            </w:tcMar>
            <w:vAlign w:val="center"/>
          </w:tcPr>
          <w:p w14:paraId="28C94CA1" w14:textId="17D59974"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Rum R </w:t>
            </w:r>
            <w:proofErr w:type="spellStart"/>
            <w:r w:rsidRPr="001E09C4">
              <w:rPr>
                <w:rFonts w:eastAsia="Times New Roman"/>
                <w:i/>
                <w:sz w:val="20"/>
                <w:szCs w:val="20"/>
              </w:rPr>
              <w:t>MN</w:t>
            </w:r>
            <w:r>
              <w:rPr>
                <w:rFonts w:eastAsia="Times New Roman"/>
                <w:i/>
                <w:sz w:val="20"/>
                <w:szCs w:val="20"/>
              </w:rPr>
              <w:t>.json</w:t>
            </w:r>
            <w:proofErr w:type="spellEnd"/>
          </w:p>
          <w:p w14:paraId="4D8D9055" w14:textId="77777777" w:rsidR="00CA6D7B" w:rsidRPr="001E09C4" w:rsidRDefault="00CA6D7B" w:rsidP="00CB3941">
            <w:pPr>
              <w:spacing w:line="240" w:lineRule="auto"/>
              <w:rPr>
                <w:rFonts w:eastAsia="Times New Roman"/>
                <w:i/>
                <w:sz w:val="20"/>
                <w:szCs w:val="20"/>
              </w:rPr>
            </w:pPr>
            <w:r w:rsidRPr="00EF0D0F">
              <w:rPr>
                <w:rFonts w:eastAsia="Times New Roman"/>
                <w:i/>
                <w:sz w:val="20"/>
                <w:szCs w:val="20"/>
              </w:rPr>
              <w:t>(Well-calibrated nutrient)</w:t>
            </w:r>
          </w:p>
        </w:tc>
        <w:tc>
          <w:tcPr>
            <w:tcW w:w="1050" w:type="dxa"/>
            <w:tcBorders>
              <w:bottom w:val="single" w:sz="4" w:space="0" w:color="auto"/>
            </w:tcBorders>
            <w:shd w:val="clear" w:color="auto" w:fill="FFCC66"/>
            <w:noWrap/>
            <w:tcMar>
              <w:top w:w="29" w:type="dxa"/>
              <w:left w:w="58" w:type="dxa"/>
              <w:bottom w:w="29" w:type="dxa"/>
              <w:right w:w="58" w:type="dxa"/>
            </w:tcMar>
            <w:vAlign w:val="center"/>
          </w:tcPr>
          <w:p w14:paraId="4AE6F088"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River</w:t>
            </w:r>
          </w:p>
        </w:tc>
        <w:tc>
          <w:tcPr>
            <w:tcW w:w="1080" w:type="dxa"/>
            <w:tcBorders>
              <w:bottom w:val="single" w:sz="4" w:space="0" w:color="auto"/>
            </w:tcBorders>
            <w:shd w:val="clear" w:color="auto" w:fill="FFCC66"/>
            <w:tcMar>
              <w:top w:w="29" w:type="dxa"/>
              <w:left w:w="115" w:type="dxa"/>
              <w:bottom w:w="29" w:type="dxa"/>
              <w:right w:w="115" w:type="dxa"/>
            </w:tcMar>
            <w:vAlign w:val="center"/>
          </w:tcPr>
          <w:p w14:paraId="18A68194"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north of St. Paul MN</w:t>
            </w:r>
          </w:p>
        </w:tc>
        <w:tc>
          <w:tcPr>
            <w:tcW w:w="5280" w:type="dxa"/>
            <w:tcBorders>
              <w:bottom w:val="single" w:sz="4" w:space="0" w:color="auto"/>
            </w:tcBorders>
            <w:shd w:val="clear" w:color="auto" w:fill="FFCC66"/>
            <w:tcMar>
              <w:top w:w="29" w:type="dxa"/>
              <w:left w:w="115" w:type="dxa"/>
              <w:bottom w:w="29" w:type="dxa"/>
              <w:right w:w="115" w:type="dxa"/>
            </w:tcMar>
            <w:vAlign w:val="center"/>
          </w:tcPr>
          <w:p w14:paraId="2AA487C2" w14:textId="77777777" w:rsidR="00CA6D7B" w:rsidRPr="001E515B" w:rsidRDefault="00CA6D7B" w:rsidP="00CB3941">
            <w:pPr>
              <w:spacing w:after="0" w:line="240" w:lineRule="auto"/>
              <w:rPr>
                <w:rFonts w:eastAsia="Times New Roman"/>
                <w:sz w:val="20"/>
                <w:szCs w:val="20"/>
              </w:rPr>
            </w:pPr>
            <w:r w:rsidRPr="001E515B">
              <w:rPr>
                <w:rFonts w:eastAsia="Times New Roman"/>
                <w:sz w:val="20"/>
                <w:szCs w:val="20"/>
              </w:rPr>
              <w:t>Rum River is a shallow river, with moderate nutrients and low suspended solids that drains forests and dairy farms in the North Central Hardwoods Forest ecoregion.</w:t>
            </w:r>
          </w:p>
        </w:tc>
      </w:tr>
      <w:tr w:rsidR="00CA6D7B" w:rsidRPr="001E515B" w14:paraId="5B7C4F84" w14:textId="77777777" w:rsidTr="00CA6D7B">
        <w:trPr>
          <w:cantSplit/>
          <w:trHeight w:val="1275"/>
        </w:trPr>
        <w:tc>
          <w:tcPr>
            <w:tcW w:w="2095" w:type="dxa"/>
            <w:shd w:val="clear" w:color="auto" w:fill="FFE8B9"/>
            <w:noWrap/>
            <w:tcMar>
              <w:top w:w="29" w:type="dxa"/>
              <w:left w:w="115" w:type="dxa"/>
              <w:bottom w:w="29" w:type="dxa"/>
              <w:right w:w="115" w:type="dxa"/>
            </w:tcMar>
            <w:vAlign w:val="center"/>
          </w:tcPr>
          <w:p w14:paraId="4F1BD968" w14:textId="77777777" w:rsidR="00CA6D7B" w:rsidRPr="001E09C4" w:rsidRDefault="00CA6D7B" w:rsidP="00CB3941">
            <w:pPr>
              <w:spacing w:line="240" w:lineRule="auto"/>
              <w:rPr>
                <w:rFonts w:eastAsia="Times New Roman"/>
                <w:i/>
                <w:sz w:val="20"/>
                <w:szCs w:val="20"/>
              </w:rPr>
            </w:pPr>
          </w:p>
          <w:p w14:paraId="7A705267" w14:textId="7E3A35B7"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Cheney Res </w:t>
            </w:r>
            <w:proofErr w:type="spellStart"/>
            <w:r w:rsidRPr="001E09C4">
              <w:rPr>
                <w:rFonts w:eastAsia="Times New Roman"/>
                <w:i/>
                <w:sz w:val="20"/>
                <w:szCs w:val="20"/>
              </w:rPr>
              <w:t>KS</w:t>
            </w:r>
            <w:r>
              <w:rPr>
                <w:rFonts w:eastAsia="Times New Roman"/>
                <w:i/>
                <w:sz w:val="20"/>
                <w:szCs w:val="20"/>
              </w:rPr>
              <w:t>.json</w:t>
            </w:r>
            <w:proofErr w:type="spellEnd"/>
          </w:p>
          <w:p w14:paraId="421641A3" w14:textId="77777777" w:rsidR="00CA6D7B" w:rsidRPr="00EF0D0F" w:rsidRDefault="00CA6D7B" w:rsidP="00CB3941">
            <w:pPr>
              <w:spacing w:line="240" w:lineRule="auto"/>
              <w:rPr>
                <w:rFonts w:eastAsia="Times New Roman"/>
                <w:i/>
                <w:sz w:val="20"/>
                <w:szCs w:val="20"/>
              </w:rPr>
            </w:pPr>
            <w:r w:rsidRPr="00EF0D0F">
              <w:rPr>
                <w:rFonts w:eastAsia="Times New Roman"/>
                <w:i/>
                <w:sz w:val="20"/>
                <w:szCs w:val="20"/>
              </w:rPr>
              <w:t>(roughly-calibrated nutrient)</w:t>
            </w:r>
          </w:p>
          <w:p w14:paraId="6AE0ECBE" w14:textId="77777777" w:rsidR="00CA6D7B" w:rsidRPr="001E09C4" w:rsidRDefault="00CA6D7B" w:rsidP="00CB3941">
            <w:pPr>
              <w:spacing w:line="240" w:lineRule="auto"/>
              <w:rPr>
                <w:rFonts w:eastAsia="Times New Roman"/>
                <w:i/>
                <w:sz w:val="20"/>
                <w:szCs w:val="20"/>
              </w:rPr>
            </w:pPr>
          </w:p>
        </w:tc>
        <w:tc>
          <w:tcPr>
            <w:tcW w:w="1050" w:type="dxa"/>
            <w:shd w:val="clear" w:color="auto" w:fill="FFE8B9"/>
            <w:noWrap/>
            <w:tcMar>
              <w:top w:w="29" w:type="dxa"/>
              <w:left w:w="58" w:type="dxa"/>
              <w:bottom w:w="29" w:type="dxa"/>
              <w:right w:w="58" w:type="dxa"/>
            </w:tcMar>
            <w:vAlign w:val="center"/>
          </w:tcPr>
          <w:p w14:paraId="51E72FC1" w14:textId="1D3B045E" w:rsidR="00CA6D7B" w:rsidRPr="001E515B" w:rsidRDefault="00CA6D7B" w:rsidP="00CB3941">
            <w:pPr>
              <w:spacing w:line="240" w:lineRule="auto"/>
              <w:rPr>
                <w:rFonts w:eastAsia="Times New Roman"/>
                <w:sz w:val="20"/>
                <w:szCs w:val="20"/>
              </w:rPr>
            </w:pPr>
            <w:r w:rsidRPr="001E515B">
              <w:rPr>
                <w:rFonts w:eastAsia="Times New Roman"/>
                <w:sz w:val="20"/>
                <w:szCs w:val="20"/>
              </w:rPr>
              <w:t>Reservoir</w:t>
            </w:r>
          </w:p>
        </w:tc>
        <w:tc>
          <w:tcPr>
            <w:tcW w:w="1080" w:type="dxa"/>
            <w:shd w:val="clear" w:color="auto" w:fill="FFE8B9"/>
            <w:tcMar>
              <w:top w:w="29" w:type="dxa"/>
              <w:left w:w="115" w:type="dxa"/>
              <w:bottom w:w="29" w:type="dxa"/>
              <w:right w:w="115" w:type="dxa"/>
            </w:tcMar>
            <w:vAlign w:val="center"/>
          </w:tcPr>
          <w:p w14:paraId="2D1FED56"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Near Wichita KS</w:t>
            </w:r>
          </w:p>
        </w:tc>
        <w:tc>
          <w:tcPr>
            <w:tcW w:w="5280" w:type="dxa"/>
            <w:shd w:val="clear" w:color="auto" w:fill="FFE8B9"/>
            <w:tcMar>
              <w:top w:w="29" w:type="dxa"/>
              <w:left w:w="115" w:type="dxa"/>
              <w:bottom w:w="29" w:type="dxa"/>
              <w:right w:w="115" w:type="dxa"/>
            </w:tcMar>
            <w:vAlign w:val="center"/>
          </w:tcPr>
          <w:p w14:paraId="13DE8AB7" w14:textId="77777777" w:rsidR="00CA6D7B" w:rsidRPr="001E515B" w:rsidRDefault="00CA6D7B" w:rsidP="00CB3941">
            <w:pPr>
              <w:spacing w:line="240" w:lineRule="auto"/>
              <w:rPr>
                <w:rFonts w:eastAsia="Times New Roman"/>
                <w:sz w:val="20"/>
                <w:szCs w:val="20"/>
              </w:rPr>
            </w:pPr>
            <w:r>
              <w:rPr>
                <w:rFonts w:eastAsia="Times New Roman"/>
                <w:sz w:val="20"/>
                <w:szCs w:val="20"/>
              </w:rPr>
              <w:t>C</w:t>
            </w:r>
            <w:r w:rsidRPr="001E515B">
              <w:rPr>
                <w:rFonts w:eastAsia="Times New Roman"/>
                <w:sz w:val="20"/>
                <w:szCs w:val="20"/>
              </w:rPr>
              <w:t xml:space="preserve">ity of Wichita acquires about 70 percent of its daily water supply from Cheney Reservoir.  It is believed that objectionable tastes and odors in Cheney Reservoir result from cyanobacteria (blue-green algae), and there is concern with proliferation of algal growth.  Both nutrients and suspended solids affect algal growth and </w:t>
            </w:r>
            <w:r>
              <w:rPr>
                <w:rFonts w:eastAsia="Times New Roman"/>
                <w:sz w:val="20"/>
                <w:szCs w:val="20"/>
              </w:rPr>
              <w:t>could</w:t>
            </w:r>
            <w:r w:rsidRPr="001E515B">
              <w:rPr>
                <w:rFonts w:eastAsia="Times New Roman"/>
                <w:sz w:val="20"/>
                <w:szCs w:val="20"/>
              </w:rPr>
              <w:t xml:space="preserve"> be a concern for taste-and-odor issues </w:t>
            </w:r>
            <w:r w:rsidRPr="001E515B">
              <w:rPr>
                <w:rFonts w:eastAsia="Times New Roman"/>
                <w:sz w:val="20"/>
                <w:szCs w:val="20"/>
              </w:rPr>
              <w:fldChar w:fldCharType="begin"/>
            </w:r>
            <w:r>
              <w:rPr>
                <w:rFonts w:eastAsia="Times New Roman"/>
                <w:sz w:val="20"/>
                <w:szCs w:val="20"/>
              </w:rPr>
              <w:instrText xml:space="preserve"> ADDIN EN.CITE &lt;EndNote&gt;&lt;Cite&gt;&lt;Author&gt;USGS&lt;/Author&gt;&lt;Year&gt;2008&lt;/Year&gt;&lt;RecNum&gt;535&lt;/RecNum&gt;&lt;DisplayText&gt;(USGS 2008)&lt;/DisplayText&gt;&lt;record&gt;&lt;rec-number&gt;535&lt;/rec-number&gt;&lt;foreign-keys&gt;&lt;key app="EN" db-id="pa0fvtx0wtvp9ne5s0fpesexxdetsa0zrf9v" timestamp="0"&gt;535&lt;/key&gt;&lt;/foreign-keys&gt;&lt;ref-type name="Web Page"&gt;12&lt;/ref-type&gt;&lt;contributors&gt;&lt;authors&gt;&lt;author&gt;USGS&lt;/author&gt;&lt;/authors&gt;&lt;/contributors&gt;&lt;titles&gt;&lt;title&gt;The Cheney Reservoir and Watershed Study&lt;/title&gt;&lt;/titles&gt;&lt;dates&gt;&lt;year&gt;2008&lt;/year&gt;&lt;/dates&gt;&lt;urls&gt;&lt;related-urls&gt;&lt;url&gt;http://ks.water.usgs.gov/studies/qw/cheney/&lt;/url&gt;&lt;/related-urls&gt;&lt;/urls&gt;&lt;/record&gt;&lt;/Cite&gt;&lt;/EndNote&gt;</w:instrText>
            </w:r>
            <w:r w:rsidRPr="001E515B">
              <w:rPr>
                <w:rFonts w:eastAsia="Times New Roman"/>
                <w:sz w:val="20"/>
                <w:szCs w:val="20"/>
              </w:rPr>
              <w:fldChar w:fldCharType="separate"/>
            </w:r>
            <w:r>
              <w:rPr>
                <w:rFonts w:eastAsia="Times New Roman"/>
                <w:noProof/>
                <w:sz w:val="20"/>
                <w:szCs w:val="20"/>
              </w:rPr>
              <w:t>(</w:t>
            </w:r>
            <w:hyperlink w:anchor="_ENREF_17" w:tooltip="USGS, 2008 #535" w:history="1">
              <w:r>
                <w:rPr>
                  <w:rFonts w:eastAsia="Times New Roman"/>
                  <w:noProof/>
                  <w:sz w:val="20"/>
                  <w:szCs w:val="20"/>
                </w:rPr>
                <w:t>USGS 2008</w:t>
              </w:r>
            </w:hyperlink>
            <w:r>
              <w:rPr>
                <w:rFonts w:eastAsia="Times New Roman"/>
                <w:noProof/>
                <w:sz w:val="20"/>
                <w:szCs w:val="20"/>
              </w:rPr>
              <w:t>)</w:t>
            </w:r>
            <w:r w:rsidRPr="001E515B">
              <w:rPr>
                <w:rFonts w:eastAsia="Times New Roman"/>
                <w:sz w:val="20"/>
                <w:szCs w:val="20"/>
              </w:rPr>
              <w:fldChar w:fldCharType="end"/>
            </w:r>
            <w:r w:rsidRPr="001E515B">
              <w:rPr>
                <w:rFonts w:eastAsia="Times New Roman"/>
                <w:sz w:val="20"/>
                <w:szCs w:val="20"/>
              </w:rPr>
              <w:t>.</w:t>
            </w:r>
          </w:p>
        </w:tc>
      </w:tr>
      <w:tr w:rsidR="00CA6D7B" w:rsidRPr="001E515B" w14:paraId="7D117495" w14:textId="77777777" w:rsidTr="00CA6D7B">
        <w:trPr>
          <w:cantSplit/>
          <w:trHeight w:val="765"/>
        </w:trPr>
        <w:tc>
          <w:tcPr>
            <w:tcW w:w="2095" w:type="dxa"/>
            <w:tcBorders>
              <w:bottom w:val="single" w:sz="4" w:space="0" w:color="auto"/>
            </w:tcBorders>
            <w:shd w:val="clear" w:color="auto" w:fill="FFE8B9"/>
            <w:noWrap/>
            <w:tcMar>
              <w:top w:w="29" w:type="dxa"/>
              <w:left w:w="115" w:type="dxa"/>
              <w:bottom w:w="29" w:type="dxa"/>
              <w:right w:w="115" w:type="dxa"/>
            </w:tcMar>
            <w:vAlign w:val="center"/>
          </w:tcPr>
          <w:p w14:paraId="4B036E44" w14:textId="175FB396"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Lake </w:t>
            </w:r>
            <w:proofErr w:type="spellStart"/>
            <w:r w:rsidRPr="001E09C4">
              <w:rPr>
                <w:rFonts w:eastAsia="Times New Roman"/>
                <w:i/>
                <w:sz w:val="20"/>
                <w:szCs w:val="20"/>
              </w:rPr>
              <w:t>Jesup</w:t>
            </w:r>
            <w:proofErr w:type="spellEnd"/>
            <w:r w:rsidRPr="001E09C4">
              <w:rPr>
                <w:rFonts w:eastAsia="Times New Roman"/>
                <w:i/>
                <w:sz w:val="20"/>
                <w:szCs w:val="20"/>
              </w:rPr>
              <w:t xml:space="preserve"> </w:t>
            </w:r>
            <w:proofErr w:type="spellStart"/>
            <w:r w:rsidRPr="001E09C4">
              <w:rPr>
                <w:rFonts w:eastAsia="Times New Roman"/>
                <w:i/>
                <w:sz w:val="20"/>
                <w:szCs w:val="20"/>
              </w:rPr>
              <w:t>FL</w:t>
            </w:r>
            <w:r>
              <w:rPr>
                <w:rFonts w:eastAsia="Times New Roman"/>
                <w:i/>
                <w:sz w:val="20"/>
                <w:szCs w:val="20"/>
              </w:rPr>
              <w:t>.json</w:t>
            </w:r>
            <w:proofErr w:type="spellEnd"/>
          </w:p>
          <w:p w14:paraId="5DAA1572" w14:textId="77777777"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 </w:t>
            </w:r>
            <w:r w:rsidRPr="00EF0D0F">
              <w:rPr>
                <w:rFonts w:eastAsia="Times New Roman"/>
                <w:i/>
                <w:sz w:val="20"/>
                <w:szCs w:val="20"/>
              </w:rPr>
              <w:t>(roughly-calibrated nutrient)</w:t>
            </w:r>
          </w:p>
        </w:tc>
        <w:tc>
          <w:tcPr>
            <w:tcW w:w="1050" w:type="dxa"/>
            <w:tcBorders>
              <w:bottom w:val="single" w:sz="4" w:space="0" w:color="auto"/>
            </w:tcBorders>
            <w:shd w:val="clear" w:color="auto" w:fill="FFE8B9"/>
            <w:noWrap/>
            <w:tcMar>
              <w:top w:w="29" w:type="dxa"/>
              <w:left w:w="58" w:type="dxa"/>
              <w:bottom w:w="29" w:type="dxa"/>
              <w:right w:w="58" w:type="dxa"/>
            </w:tcMar>
            <w:vAlign w:val="center"/>
          </w:tcPr>
          <w:p w14:paraId="6105A216"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Lake</w:t>
            </w:r>
          </w:p>
        </w:tc>
        <w:tc>
          <w:tcPr>
            <w:tcW w:w="1080" w:type="dxa"/>
            <w:tcBorders>
              <w:bottom w:val="single" w:sz="4" w:space="0" w:color="auto"/>
            </w:tcBorders>
            <w:shd w:val="clear" w:color="auto" w:fill="FFE8B9"/>
            <w:tcMar>
              <w:top w:w="29" w:type="dxa"/>
              <w:left w:w="115" w:type="dxa"/>
              <w:bottom w:w="29" w:type="dxa"/>
              <w:right w:w="115" w:type="dxa"/>
            </w:tcMar>
            <w:vAlign w:val="center"/>
          </w:tcPr>
          <w:p w14:paraId="30280082" w14:textId="77777777" w:rsidR="00CA6D7B" w:rsidRPr="001E515B" w:rsidRDefault="00CA6D7B" w:rsidP="00CB3941">
            <w:pPr>
              <w:spacing w:line="240" w:lineRule="auto"/>
              <w:rPr>
                <w:rFonts w:eastAsia="Times New Roman"/>
                <w:sz w:val="20"/>
                <w:szCs w:val="20"/>
              </w:rPr>
            </w:pPr>
            <w:r>
              <w:rPr>
                <w:rFonts w:eastAsia="Times New Roman"/>
                <w:sz w:val="20"/>
                <w:szCs w:val="20"/>
              </w:rPr>
              <w:t>N</w:t>
            </w:r>
            <w:r w:rsidRPr="001E515B">
              <w:rPr>
                <w:rFonts w:eastAsia="Times New Roman"/>
                <w:sz w:val="20"/>
                <w:szCs w:val="20"/>
              </w:rPr>
              <w:t>orth of Orlando</w:t>
            </w:r>
          </w:p>
        </w:tc>
        <w:tc>
          <w:tcPr>
            <w:tcW w:w="5280" w:type="dxa"/>
            <w:tcBorders>
              <w:bottom w:val="single" w:sz="4" w:space="0" w:color="auto"/>
            </w:tcBorders>
            <w:shd w:val="clear" w:color="auto" w:fill="FFE8B9"/>
            <w:tcMar>
              <w:top w:w="29" w:type="dxa"/>
              <w:left w:w="115" w:type="dxa"/>
              <w:bottom w:w="29" w:type="dxa"/>
              <w:right w:w="115" w:type="dxa"/>
            </w:tcMar>
            <w:vAlign w:val="center"/>
          </w:tcPr>
          <w:p w14:paraId="16816522"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 xml:space="preserve">Lake </w:t>
            </w:r>
            <w:proofErr w:type="spellStart"/>
            <w:r w:rsidRPr="001E515B">
              <w:rPr>
                <w:rFonts w:eastAsia="Times New Roman"/>
                <w:sz w:val="20"/>
                <w:szCs w:val="20"/>
              </w:rPr>
              <w:t>Jesup</w:t>
            </w:r>
            <w:proofErr w:type="spellEnd"/>
            <w:r w:rsidRPr="001E515B">
              <w:rPr>
                <w:rFonts w:eastAsia="Times New Roman"/>
                <w:sz w:val="20"/>
                <w:szCs w:val="20"/>
              </w:rPr>
              <w:t xml:space="preserve"> is a large, shallow lake.  Urban storm water and agricultural runoff impact the lake, as well as historic wastewater discharge.  Blooms of the invasive </w:t>
            </w:r>
            <w:r>
              <w:rPr>
                <w:rFonts w:eastAsia="Times New Roman"/>
                <w:sz w:val="20"/>
                <w:szCs w:val="20"/>
              </w:rPr>
              <w:t>cyanobacteria</w:t>
            </w:r>
            <w:r w:rsidRPr="001E515B">
              <w:rPr>
                <w:rFonts w:eastAsia="Times New Roman"/>
                <w:sz w:val="20"/>
                <w:szCs w:val="20"/>
              </w:rPr>
              <w:t xml:space="preserve"> </w:t>
            </w:r>
            <w:r w:rsidRPr="001E515B">
              <w:rPr>
                <w:rFonts w:eastAsia="Times New Roman"/>
                <w:i/>
                <w:sz w:val="20"/>
                <w:szCs w:val="20"/>
              </w:rPr>
              <w:t>Cylindrospermopsis</w:t>
            </w:r>
            <w:r w:rsidRPr="001E515B">
              <w:rPr>
                <w:rFonts w:eastAsia="Times New Roman"/>
                <w:sz w:val="20"/>
                <w:szCs w:val="20"/>
              </w:rPr>
              <w:t xml:space="preserve"> have been increasing.</w:t>
            </w:r>
          </w:p>
        </w:tc>
      </w:tr>
      <w:tr w:rsidR="00CA6D7B" w:rsidRPr="001E515B" w14:paraId="7F2DE7F4" w14:textId="77777777" w:rsidTr="00CA6D7B">
        <w:trPr>
          <w:cantSplit/>
          <w:trHeight w:val="440"/>
        </w:trPr>
        <w:tc>
          <w:tcPr>
            <w:tcW w:w="2095" w:type="dxa"/>
            <w:tcBorders>
              <w:bottom w:val="single" w:sz="4" w:space="0" w:color="auto"/>
            </w:tcBorders>
            <w:shd w:val="clear" w:color="auto" w:fill="FFE8B9"/>
            <w:noWrap/>
            <w:tcMar>
              <w:top w:w="29" w:type="dxa"/>
              <w:left w:w="115" w:type="dxa"/>
              <w:bottom w:w="29" w:type="dxa"/>
              <w:right w:w="115" w:type="dxa"/>
            </w:tcMar>
            <w:vAlign w:val="center"/>
          </w:tcPr>
          <w:p w14:paraId="21B270EA" w14:textId="3D0EC9FC" w:rsidR="00CA6D7B" w:rsidRPr="001E09C4" w:rsidRDefault="00CA6D7B" w:rsidP="00CB3941">
            <w:pPr>
              <w:spacing w:line="240" w:lineRule="auto"/>
              <w:rPr>
                <w:rFonts w:eastAsia="Times New Roman"/>
                <w:i/>
                <w:sz w:val="20"/>
                <w:szCs w:val="20"/>
              </w:rPr>
            </w:pPr>
            <w:r w:rsidRPr="001E09C4">
              <w:rPr>
                <w:rFonts w:eastAsia="Times New Roman"/>
                <w:bCs/>
                <w:i/>
                <w:sz w:val="20"/>
                <w:szCs w:val="20"/>
              </w:rPr>
              <w:t xml:space="preserve">Lake </w:t>
            </w:r>
            <w:proofErr w:type="spellStart"/>
            <w:r w:rsidRPr="001E09C4">
              <w:rPr>
                <w:rFonts w:eastAsia="Times New Roman"/>
                <w:bCs/>
                <w:i/>
                <w:sz w:val="20"/>
                <w:szCs w:val="20"/>
              </w:rPr>
              <w:t>Pyhäjärvi</w:t>
            </w:r>
            <w:proofErr w:type="spellEnd"/>
            <w:r w:rsidRPr="001E09C4">
              <w:rPr>
                <w:rFonts w:eastAsia="Times New Roman"/>
                <w:bCs/>
                <w:i/>
                <w:sz w:val="20"/>
                <w:szCs w:val="20"/>
              </w:rPr>
              <w:t xml:space="preserve"> </w:t>
            </w:r>
            <w:proofErr w:type="spellStart"/>
            <w:r w:rsidRPr="001E09C4">
              <w:rPr>
                <w:rFonts w:eastAsia="Times New Roman"/>
                <w:bCs/>
                <w:i/>
                <w:sz w:val="20"/>
                <w:szCs w:val="20"/>
              </w:rPr>
              <w:t>Finland</w:t>
            </w:r>
            <w:r>
              <w:rPr>
                <w:rFonts w:eastAsia="Times New Roman"/>
                <w:bCs/>
                <w:i/>
                <w:sz w:val="20"/>
                <w:szCs w:val="20"/>
              </w:rPr>
              <w:t>.json</w:t>
            </w:r>
            <w:proofErr w:type="spellEnd"/>
            <w:r w:rsidRPr="001E09C4">
              <w:rPr>
                <w:rFonts w:eastAsia="Times New Roman"/>
                <w:i/>
                <w:sz w:val="20"/>
                <w:szCs w:val="20"/>
              </w:rPr>
              <w:t xml:space="preserve"> </w:t>
            </w:r>
            <w:r w:rsidRPr="00EF0D0F">
              <w:rPr>
                <w:rFonts w:eastAsia="Times New Roman"/>
                <w:i/>
                <w:sz w:val="20"/>
                <w:szCs w:val="20"/>
              </w:rPr>
              <w:t>(roughly-calibrated nutrient)</w:t>
            </w:r>
          </w:p>
        </w:tc>
        <w:tc>
          <w:tcPr>
            <w:tcW w:w="1050" w:type="dxa"/>
            <w:tcBorders>
              <w:bottom w:val="single" w:sz="4" w:space="0" w:color="auto"/>
            </w:tcBorders>
            <w:shd w:val="clear" w:color="auto" w:fill="FFE8B9"/>
            <w:noWrap/>
            <w:tcMar>
              <w:top w:w="29" w:type="dxa"/>
              <w:left w:w="58" w:type="dxa"/>
              <w:bottom w:w="29" w:type="dxa"/>
              <w:right w:w="58" w:type="dxa"/>
            </w:tcMar>
            <w:vAlign w:val="center"/>
          </w:tcPr>
          <w:p w14:paraId="55A2935A"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Lake</w:t>
            </w:r>
          </w:p>
        </w:tc>
        <w:tc>
          <w:tcPr>
            <w:tcW w:w="1080" w:type="dxa"/>
            <w:tcBorders>
              <w:bottom w:val="single" w:sz="4" w:space="0" w:color="auto"/>
            </w:tcBorders>
            <w:shd w:val="clear" w:color="auto" w:fill="FFE8B9"/>
            <w:tcMar>
              <w:top w:w="29" w:type="dxa"/>
              <w:left w:w="115" w:type="dxa"/>
              <w:bottom w:w="29" w:type="dxa"/>
              <w:right w:w="115" w:type="dxa"/>
            </w:tcMar>
            <w:vAlign w:val="center"/>
          </w:tcPr>
          <w:p w14:paraId="58FBD56F"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SW Finland</w:t>
            </w:r>
          </w:p>
        </w:tc>
        <w:tc>
          <w:tcPr>
            <w:tcW w:w="5280" w:type="dxa"/>
            <w:tcBorders>
              <w:bottom w:val="single" w:sz="4" w:space="0" w:color="auto"/>
            </w:tcBorders>
            <w:shd w:val="clear" w:color="auto" w:fill="FFE8B9"/>
            <w:tcMar>
              <w:top w:w="29" w:type="dxa"/>
              <w:left w:w="115" w:type="dxa"/>
              <w:bottom w:w="29" w:type="dxa"/>
              <w:right w:w="115" w:type="dxa"/>
            </w:tcMar>
            <w:vAlign w:val="center"/>
          </w:tcPr>
          <w:p w14:paraId="0E5F7591"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 xml:space="preserve">Mesotrophic boreal lake simulated by </w:t>
            </w:r>
            <w:r w:rsidRPr="001E515B">
              <w:rPr>
                <w:rFonts w:eastAsia="Times New Roman"/>
                <w:bCs/>
                <w:sz w:val="20"/>
                <w:szCs w:val="20"/>
                <w:lang w:val="fi-FI"/>
              </w:rPr>
              <w:t xml:space="preserve">Anne Mäkynen, Jyväskylä University.  </w:t>
            </w:r>
            <w:r w:rsidRPr="001E515B">
              <w:rPr>
                <w:rFonts w:eastAsia="Times New Roman"/>
                <w:bCs/>
                <w:sz w:val="20"/>
                <w:szCs w:val="20"/>
              </w:rPr>
              <w:t xml:space="preserve">The </w:t>
            </w:r>
            <w:r>
              <w:rPr>
                <w:rFonts w:eastAsia="Times New Roman"/>
                <w:bCs/>
                <w:sz w:val="20"/>
                <w:szCs w:val="20"/>
              </w:rPr>
              <w:t>d</w:t>
            </w:r>
            <w:r w:rsidRPr="001E515B">
              <w:rPr>
                <w:rFonts w:eastAsia="Times New Roman"/>
                <w:bCs/>
                <w:sz w:val="20"/>
                <w:szCs w:val="20"/>
              </w:rPr>
              <w:t xml:space="preserve">ifference between observed and simulated phosphorus concentration corresponds perfectly with </w:t>
            </w:r>
            <w:r>
              <w:rPr>
                <w:rFonts w:eastAsia="Times New Roman"/>
                <w:bCs/>
                <w:sz w:val="20"/>
                <w:szCs w:val="20"/>
              </w:rPr>
              <w:t>the mass</w:t>
            </w:r>
            <w:r w:rsidRPr="001E515B">
              <w:rPr>
                <w:rFonts w:eastAsia="Times New Roman"/>
                <w:bCs/>
                <w:sz w:val="20"/>
                <w:szCs w:val="20"/>
              </w:rPr>
              <w:t xml:space="preserve"> removed by fishing.</w:t>
            </w:r>
          </w:p>
        </w:tc>
      </w:tr>
      <w:tr w:rsidR="00CA6D7B" w:rsidRPr="001E515B" w14:paraId="602F738B" w14:textId="77777777" w:rsidTr="00CA6D7B">
        <w:trPr>
          <w:cantSplit/>
          <w:trHeight w:val="510"/>
        </w:trPr>
        <w:tc>
          <w:tcPr>
            <w:tcW w:w="2095" w:type="dxa"/>
            <w:shd w:val="clear" w:color="auto" w:fill="D99997"/>
            <w:noWrap/>
            <w:tcMar>
              <w:top w:w="29" w:type="dxa"/>
              <w:left w:w="115" w:type="dxa"/>
              <w:bottom w:w="29" w:type="dxa"/>
              <w:right w:w="115" w:type="dxa"/>
            </w:tcMar>
            <w:vAlign w:val="center"/>
          </w:tcPr>
          <w:p w14:paraId="1F288942" w14:textId="4EC8446D"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Farm Pond </w:t>
            </w:r>
            <w:proofErr w:type="spellStart"/>
            <w:r w:rsidRPr="001E09C4">
              <w:rPr>
                <w:rFonts w:eastAsia="Times New Roman"/>
                <w:i/>
                <w:sz w:val="20"/>
                <w:szCs w:val="20"/>
              </w:rPr>
              <w:t>MO</w:t>
            </w:r>
            <w:r>
              <w:rPr>
                <w:rFonts w:eastAsia="Times New Roman"/>
                <w:i/>
                <w:sz w:val="20"/>
                <w:szCs w:val="20"/>
              </w:rPr>
              <w:t>.json</w:t>
            </w:r>
            <w:proofErr w:type="spellEnd"/>
          </w:p>
          <w:p w14:paraId="71266823" w14:textId="3A7C58DC"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Farm Pond MO </w:t>
            </w:r>
            <w:proofErr w:type="spellStart"/>
            <w:r w:rsidRPr="001E09C4">
              <w:rPr>
                <w:rFonts w:eastAsia="Times New Roman"/>
                <w:i/>
                <w:sz w:val="20"/>
                <w:szCs w:val="20"/>
              </w:rPr>
              <w:t>Esfenval</w:t>
            </w:r>
            <w:r>
              <w:rPr>
                <w:rFonts w:eastAsia="Times New Roman"/>
                <w:i/>
                <w:sz w:val="20"/>
                <w:szCs w:val="20"/>
              </w:rPr>
              <w:t>.json</w:t>
            </w:r>
            <w:proofErr w:type="spellEnd"/>
          </w:p>
          <w:p w14:paraId="69760BA3" w14:textId="77777777" w:rsidR="00CA6D7B" w:rsidRPr="00EF0D0F" w:rsidRDefault="00CA6D7B" w:rsidP="00CB3941">
            <w:pPr>
              <w:spacing w:line="240" w:lineRule="auto"/>
              <w:rPr>
                <w:rFonts w:eastAsia="Times New Roman"/>
                <w:i/>
                <w:sz w:val="20"/>
                <w:szCs w:val="20"/>
              </w:rPr>
            </w:pPr>
            <w:r w:rsidRPr="00EF0D0F">
              <w:rPr>
                <w:rFonts w:eastAsia="Times New Roman"/>
                <w:i/>
                <w:sz w:val="20"/>
                <w:szCs w:val="20"/>
              </w:rPr>
              <w:t>(Well-calibrated mesocosm)</w:t>
            </w:r>
          </w:p>
        </w:tc>
        <w:tc>
          <w:tcPr>
            <w:tcW w:w="1050" w:type="dxa"/>
            <w:shd w:val="clear" w:color="auto" w:fill="D99997"/>
            <w:noWrap/>
            <w:tcMar>
              <w:top w:w="29" w:type="dxa"/>
              <w:left w:w="58" w:type="dxa"/>
              <w:bottom w:w="29" w:type="dxa"/>
              <w:right w:w="58" w:type="dxa"/>
            </w:tcMar>
            <w:vAlign w:val="center"/>
          </w:tcPr>
          <w:p w14:paraId="70A94F0B"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Pond</w:t>
            </w:r>
          </w:p>
        </w:tc>
        <w:tc>
          <w:tcPr>
            <w:tcW w:w="1080" w:type="dxa"/>
            <w:shd w:val="clear" w:color="auto" w:fill="D99997"/>
            <w:tcMar>
              <w:top w:w="29" w:type="dxa"/>
              <w:left w:w="115" w:type="dxa"/>
              <w:bottom w:w="29" w:type="dxa"/>
              <w:right w:w="115" w:type="dxa"/>
            </w:tcMar>
            <w:vAlign w:val="center"/>
          </w:tcPr>
          <w:p w14:paraId="2A4A493E" w14:textId="77777777" w:rsidR="00CA6D7B" w:rsidRPr="001E515B" w:rsidRDefault="00CA6D7B" w:rsidP="00CB3941">
            <w:pPr>
              <w:spacing w:line="240" w:lineRule="auto"/>
              <w:rPr>
                <w:rFonts w:eastAsia="Times New Roman"/>
                <w:sz w:val="20"/>
                <w:szCs w:val="20"/>
              </w:rPr>
            </w:pPr>
            <w:r>
              <w:rPr>
                <w:rFonts w:eastAsia="Times New Roman"/>
                <w:sz w:val="20"/>
                <w:szCs w:val="20"/>
              </w:rPr>
              <w:t>C</w:t>
            </w:r>
            <w:r w:rsidRPr="001E515B">
              <w:rPr>
                <w:rFonts w:eastAsia="Times New Roman"/>
                <w:sz w:val="20"/>
                <w:szCs w:val="20"/>
              </w:rPr>
              <w:t>entral MO</w:t>
            </w:r>
          </w:p>
        </w:tc>
        <w:tc>
          <w:tcPr>
            <w:tcW w:w="5280" w:type="dxa"/>
            <w:shd w:val="clear" w:color="auto" w:fill="D99997"/>
            <w:tcMar>
              <w:top w:w="29" w:type="dxa"/>
              <w:left w:w="115" w:type="dxa"/>
              <w:bottom w:w="29" w:type="dxa"/>
              <w:right w:w="115" w:type="dxa"/>
            </w:tcMar>
            <w:vAlign w:val="center"/>
          </w:tcPr>
          <w:p w14:paraId="1B95D4E3" w14:textId="77777777" w:rsidR="00CA6D7B" w:rsidRPr="001E515B" w:rsidRDefault="00CA6D7B" w:rsidP="00CB3941">
            <w:pPr>
              <w:spacing w:line="240" w:lineRule="auto"/>
              <w:rPr>
                <w:rFonts w:eastAsia="Times New Roman"/>
                <w:sz w:val="20"/>
                <w:szCs w:val="20"/>
              </w:rPr>
            </w:pPr>
            <w:r>
              <w:rPr>
                <w:rFonts w:eastAsia="Times New Roman"/>
                <w:sz w:val="20"/>
                <w:szCs w:val="20"/>
              </w:rPr>
              <w:t>G</w:t>
            </w:r>
            <w:r w:rsidRPr="001E515B">
              <w:rPr>
                <w:rFonts w:eastAsia="Times New Roman"/>
                <w:sz w:val="20"/>
                <w:szCs w:val="20"/>
              </w:rPr>
              <w:t xml:space="preserve">eneric pond built to USDA specifications.  </w:t>
            </w:r>
          </w:p>
          <w:p w14:paraId="5E14D4AA"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Esfenvalerate loadings are the worst-case scenario using runoff from an adjacent corn field predicted by the PRZM model.</w:t>
            </w:r>
          </w:p>
        </w:tc>
      </w:tr>
      <w:tr w:rsidR="00CA6D7B" w:rsidRPr="001E515B" w14:paraId="468C3021" w14:textId="77777777" w:rsidTr="00CA6D7B">
        <w:trPr>
          <w:cantSplit/>
          <w:trHeight w:val="510"/>
        </w:trPr>
        <w:tc>
          <w:tcPr>
            <w:tcW w:w="2095" w:type="dxa"/>
            <w:shd w:val="clear" w:color="auto" w:fill="D99997"/>
            <w:noWrap/>
            <w:tcMar>
              <w:top w:w="29" w:type="dxa"/>
              <w:left w:w="115" w:type="dxa"/>
              <w:bottom w:w="29" w:type="dxa"/>
              <w:right w:w="115" w:type="dxa"/>
            </w:tcMar>
            <w:vAlign w:val="center"/>
          </w:tcPr>
          <w:p w14:paraId="17708A05" w14:textId="29B00107" w:rsidR="00CA6D7B" w:rsidRPr="001E09C4" w:rsidRDefault="00CA6D7B" w:rsidP="00CB3941">
            <w:pPr>
              <w:spacing w:line="240" w:lineRule="auto"/>
              <w:rPr>
                <w:rFonts w:eastAsia="Times New Roman"/>
                <w:i/>
                <w:sz w:val="20"/>
                <w:szCs w:val="20"/>
              </w:rPr>
            </w:pPr>
            <w:r w:rsidRPr="001E09C4">
              <w:rPr>
                <w:rFonts w:eastAsia="Times New Roman"/>
                <w:i/>
                <w:sz w:val="20"/>
                <w:szCs w:val="20"/>
              </w:rPr>
              <w:lastRenderedPageBreak/>
              <w:t xml:space="preserve">HCB </w:t>
            </w:r>
            <w:proofErr w:type="spellStart"/>
            <w:r w:rsidRPr="001E09C4">
              <w:rPr>
                <w:rFonts w:eastAsia="Times New Roman"/>
                <w:i/>
                <w:sz w:val="20"/>
                <w:szCs w:val="20"/>
              </w:rPr>
              <w:t>Tank</w:t>
            </w:r>
            <w:r>
              <w:rPr>
                <w:rFonts w:eastAsia="Times New Roman"/>
                <w:i/>
                <w:sz w:val="20"/>
                <w:szCs w:val="20"/>
              </w:rPr>
              <w:t>.json</w:t>
            </w:r>
            <w:proofErr w:type="spellEnd"/>
            <w:r w:rsidRPr="001E09C4">
              <w:rPr>
                <w:rFonts w:eastAsia="Times New Roman"/>
                <w:i/>
                <w:sz w:val="20"/>
                <w:szCs w:val="20"/>
              </w:rPr>
              <w:t xml:space="preserve"> </w:t>
            </w:r>
          </w:p>
          <w:p w14:paraId="536B9238" w14:textId="77777777" w:rsidR="00CA6D7B" w:rsidRPr="001E09C4" w:rsidRDefault="00CA6D7B" w:rsidP="00CB3941">
            <w:pPr>
              <w:spacing w:line="240" w:lineRule="auto"/>
              <w:rPr>
                <w:rFonts w:eastAsia="Times New Roman"/>
                <w:i/>
                <w:sz w:val="20"/>
                <w:szCs w:val="20"/>
              </w:rPr>
            </w:pPr>
            <w:r w:rsidRPr="00EF0D0F">
              <w:rPr>
                <w:rFonts w:eastAsia="Times New Roman"/>
                <w:i/>
                <w:sz w:val="20"/>
                <w:szCs w:val="20"/>
              </w:rPr>
              <w:t>(Well-calibrated microcosm)</w:t>
            </w:r>
          </w:p>
        </w:tc>
        <w:tc>
          <w:tcPr>
            <w:tcW w:w="1050" w:type="dxa"/>
            <w:shd w:val="clear" w:color="auto" w:fill="D99997"/>
            <w:noWrap/>
            <w:tcMar>
              <w:top w:w="29" w:type="dxa"/>
              <w:left w:w="58" w:type="dxa"/>
              <w:bottom w:w="29" w:type="dxa"/>
              <w:right w:w="58" w:type="dxa"/>
            </w:tcMar>
            <w:vAlign w:val="center"/>
          </w:tcPr>
          <w:p w14:paraId="60D55538" w14:textId="7C233CCC" w:rsidR="00CA6D7B" w:rsidRPr="001E515B" w:rsidRDefault="00CA6D7B" w:rsidP="00CB3941">
            <w:pPr>
              <w:spacing w:line="240" w:lineRule="auto"/>
              <w:rPr>
                <w:rFonts w:eastAsia="Times New Roman"/>
                <w:sz w:val="20"/>
                <w:szCs w:val="20"/>
              </w:rPr>
            </w:pPr>
            <w:r w:rsidRPr="001E515B">
              <w:rPr>
                <w:rFonts w:eastAsia="Times New Roman"/>
                <w:sz w:val="20"/>
                <w:szCs w:val="20"/>
              </w:rPr>
              <w:t>Aquarium</w:t>
            </w:r>
          </w:p>
        </w:tc>
        <w:tc>
          <w:tcPr>
            <w:tcW w:w="1080" w:type="dxa"/>
            <w:shd w:val="clear" w:color="auto" w:fill="D99997"/>
            <w:tcMar>
              <w:top w:w="29" w:type="dxa"/>
              <w:left w:w="115" w:type="dxa"/>
              <w:bottom w:w="29" w:type="dxa"/>
              <w:right w:w="115" w:type="dxa"/>
            </w:tcMar>
            <w:vAlign w:val="center"/>
          </w:tcPr>
          <w:p w14:paraId="73332E3E" w14:textId="77777777" w:rsidR="00CA6D7B" w:rsidRPr="001E515B" w:rsidRDefault="00CA6D7B" w:rsidP="00CB3941">
            <w:pPr>
              <w:spacing w:line="240" w:lineRule="auto"/>
              <w:rPr>
                <w:rFonts w:eastAsia="Times New Roman"/>
                <w:sz w:val="20"/>
                <w:szCs w:val="20"/>
              </w:rPr>
            </w:pPr>
            <w:r>
              <w:rPr>
                <w:rFonts w:eastAsia="Times New Roman"/>
                <w:sz w:val="20"/>
                <w:szCs w:val="20"/>
              </w:rPr>
              <w:t>E</w:t>
            </w:r>
            <w:r w:rsidRPr="001E515B">
              <w:rPr>
                <w:rFonts w:eastAsia="Times New Roman"/>
                <w:sz w:val="20"/>
                <w:szCs w:val="20"/>
              </w:rPr>
              <w:t>xperimental lab</w:t>
            </w:r>
          </w:p>
        </w:tc>
        <w:tc>
          <w:tcPr>
            <w:tcW w:w="5280" w:type="dxa"/>
            <w:shd w:val="clear" w:color="auto" w:fill="D99997"/>
            <w:tcMar>
              <w:top w:w="29" w:type="dxa"/>
              <w:left w:w="115" w:type="dxa"/>
              <w:bottom w:w="29" w:type="dxa"/>
              <w:right w:w="115" w:type="dxa"/>
            </w:tcMar>
            <w:vAlign w:val="center"/>
          </w:tcPr>
          <w:p w14:paraId="05346826"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 xml:space="preserve">Represents an experiment in which an aquarium tank containing macrophytes was dosed with hexachlorobenzene </w:t>
            </w:r>
            <w:r w:rsidRPr="001E515B">
              <w:rPr>
                <w:rFonts w:eastAsia="Times New Roman"/>
                <w:sz w:val="20"/>
                <w:szCs w:val="20"/>
              </w:rPr>
              <w:fldChar w:fldCharType="begin"/>
            </w:r>
            <w:r>
              <w:rPr>
                <w:rFonts w:eastAsia="Times New Roman"/>
                <w:sz w:val="20"/>
                <w:szCs w:val="20"/>
              </w:rPr>
              <w:instrText xml:space="preserve"> ADDIN EN.CITE &lt;EndNote&gt;&lt;Cite&gt;&lt;Author&gt;Gobas&lt;/Author&gt;&lt;Year&gt;1991&lt;/Year&gt;&lt;RecNum&gt;412&lt;/RecNum&gt;&lt;DisplayText&gt;(Gobas et al. 1991)&lt;/DisplayText&gt;&lt;record&gt;&lt;rec-number&gt;412&lt;/rec-number&gt;&lt;foreign-keys&gt;&lt;key app="EN" db-id="pa0fvtx0wtvp9ne5s0fpesexxdetsa0zrf9v" timestamp="0"&gt;412&lt;/key&gt;&lt;/foreign-keys&gt;&lt;ref-type name="Journal Article"&gt;17&lt;/ref-type&gt;&lt;contributors&gt;&lt;authors&gt;&lt;author&gt;Gobas, F.A.P.C. &lt;/author&gt;&lt;author&gt;McNeil, E.J. &lt;/author&gt;&lt;author&gt;Lovett-Doust, L. &lt;/author&gt;&lt;author&gt;Haffner, G.D.&lt;/author&gt;&lt;/authors&gt;&lt;/contributors&gt;&lt;titles&gt;&lt;title&gt;&lt;style face="normal" font="default" size="100%"&gt;Bioconcentration of Chlorinated Aromatic Hydrocarbons in Aquatic Macrophytes (&lt;/style&gt;&lt;style face="italic" font="default" size="100%"&gt;Myriophyllum spicatum&lt;/style&gt;&lt;style face="normal" font="default" size="100%"&gt;)&lt;/style&gt;&lt;/title&gt;&lt;secondary-title&gt;Environmental Science &amp;amp; Technology&lt;/secondary-title&gt;&lt;/titles&gt;&lt;periodical&gt;&lt;full-title&gt;Environmental Science &amp;amp; Technology&lt;/full-title&gt;&lt;/periodical&gt;&lt;pages&gt;924-929&lt;/pages&gt;&lt;volume&gt;25&lt;/volume&gt;&lt;dates&gt;&lt;year&gt;1991&lt;/year&gt;&lt;/dates&gt;&lt;urls&gt;&lt;/urls&gt;&lt;/record&gt;&lt;/Cite&gt;&lt;/EndNote&gt;</w:instrText>
            </w:r>
            <w:r w:rsidRPr="001E515B">
              <w:rPr>
                <w:rFonts w:eastAsia="Times New Roman"/>
                <w:sz w:val="20"/>
                <w:szCs w:val="20"/>
              </w:rPr>
              <w:fldChar w:fldCharType="separate"/>
            </w:r>
            <w:r>
              <w:rPr>
                <w:rFonts w:eastAsia="Times New Roman"/>
                <w:noProof/>
                <w:sz w:val="20"/>
                <w:szCs w:val="20"/>
              </w:rPr>
              <w:t>(</w:t>
            </w:r>
            <w:hyperlink w:anchor="_ENREF_5" w:tooltip="Gobas, 1991 #412" w:history="1">
              <w:r>
                <w:rPr>
                  <w:rFonts w:eastAsia="Times New Roman"/>
                  <w:noProof/>
                  <w:sz w:val="20"/>
                  <w:szCs w:val="20"/>
                </w:rPr>
                <w:t>Gobas et al. 1991</w:t>
              </w:r>
            </w:hyperlink>
            <w:r>
              <w:rPr>
                <w:rFonts w:eastAsia="Times New Roman"/>
                <w:noProof/>
                <w:sz w:val="20"/>
                <w:szCs w:val="20"/>
              </w:rPr>
              <w:t>)</w:t>
            </w:r>
            <w:r w:rsidRPr="001E515B">
              <w:rPr>
                <w:rFonts w:eastAsia="Times New Roman"/>
                <w:sz w:val="20"/>
                <w:szCs w:val="20"/>
              </w:rPr>
              <w:fldChar w:fldCharType="end"/>
            </w:r>
            <w:r w:rsidRPr="001E515B">
              <w:rPr>
                <w:rFonts w:eastAsia="Times New Roman"/>
                <w:sz w:val="20"/>
                <w:szCs w:val="20"/>
              </w:rPr>
              <w:t>.</w:t>
            </w:r>
          </w:p>
        </w:tc>
      </w:tr>
      <w:tr w:rsidR="00CA6D7B" w:rsidRPr="001E515B" w14:paraId="6716F714" w14:textId="77777777" w:rsidTr="00CA6D7B">
        <w:trPr>
          <w:cantSplit/>
          <w:trHeight w:val="510"/>
        </w:trPr>
        <w:tc>
          <w:tcPr>
            <w:tcW w:w="2095" w:type="dxa"/>
            <w:tcBorders>
              <w:bottom w:val="single" w:sz="4" w:space="0" w:color="auto"/>
            </w:tcBorders>
            <w:shd w:val="clear" w:color="auto" w:fill="F4E0E0"/>
            <w:noWrap/>
            <w:tcMar>
              <w:top w:w="29" w:type="dxa"/>
              <w:left w:w="115" w:type="dxa"/>
              <w:bottom w:w="29" w:type="dxa"/>
              <w:right w:w="115" w:type="dxa"/>
            </w:tcMar>
            <w:vAlign w:val="center"/>
          </w:tcPr>
          <w:p w14:paraId="0AC8BBCF" w14:textId="09AF7E5D"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Expr Stream </w:t>
            </w:r>
            <w:proofErr w:type="spellStart"/>
            <w:r w:rsidRPr="001E09C4">
              <w:rPr>
                <w:rFonts w:eastAsia="Times New Roman"/>
                <w:i/>
                <w:sz w:val="20"/>
                <w:szCs w:val="20"/>
              </w:rPr>
              <w:t>Esfenval</w:t>
            </w:r>
            <w:r>
              <w:rPr>
                <w:rFonts w:eastAsia="Times New Roman"/>
                <w:i/>
                <w:sz w:val="20"/>
                <w:szCs w:val="20"/>
              </w:rPr>
              <w:t>.json</w:t>
            </w:r>
            <w:proofErr w:type="spellEnd"/>
          </w:p>
          <w:p w14:paraId="51D9A02E" w14:textId="77777777" w:rsidR="00CA6D7B" w:rsidRPr="001E09C4" w:rsidRDefault="00CA6D7B" w:rsidP="00CB3941">
            <w:pPr>
              <w:spacing w:line="240" w:lineRule="auto"/>
              <w:rPr>
                <w:rFonts w:eastAsia="Times New Roman"/>
                <w:i/>
                <w:sz w:val="20"/>
                <w:szCs w:val="20"/>
              </w:rPr>
            </w:pPr>
            <w:r w:rsidRPr="00EF0D0F">
              <w:rPr>
                <w:rFonts w:eastAsia="Times New Roman"/>
                <w:i/>
                <w:sz w:val="20"/>
                <w:szCs w:val="20"/>
              </w:rPr>
              <w:t>(Roughly-calibrated mesocosm)</w:t>
            </w:r>
          </w:p>
        </w:tc>
        <w:tc>
          <w:tcPr>
            <w:tcW w:w="1050" w:type="dxa"/>
            <w:tcBorders>
              <w:bottom w:val="single" w:sz="4" w:space="0" w:color="auto"/>
            </w:tcBorders>
            <w:shd w:val="clear" w:color="auto" w:fill="F4E0E0"/>
            <w:noWrap/>
            <w:tcMar>
              <w:top w:w="29" w:type="dxa"/>
              <w:left w:w="58" w:type="dxa"/>
              <w:bottom w:w="29" w:type="dxa"/>
              <w:right w:w="58" w:type="dxa"/>
            </w:tcMar>
            <w:vAlign w:val="center"/>
          </w:tcPr>
          <w:p w14:paraId="24E2F674"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Stream</w:t>
            </w:r>
          </w:p>
        </w:tc>
        <w:tc>
          <w:tcPr>
            <w:tcW w:w="1080" w:type="dxa"/>
            <w:tcBorders>
              <w:bottom w:val="single" w:sz="4" w:space="0" w:color="auto"/>
            </w:tcBorders>
            <w:shd w:val="clear" w:color="auto" w:fill="F4E0E0"/>
            <w:tcMar>
              <w:top w:w="29" w:type="dxa"/>
              <w:left w:w="115" w:type="dxa"/>
              <w:bottom w:w="29" w:type="dxa"/>
              <w:right w:w="115" w:type="dxa"/>
            </w:tcMar>
            <w:vAlign w:val="center"/>
          </w:tcPr>
          <w:p w14:paraId="32158FA4"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Idaho</w:t>
            </w:r>
          </w:p>
        </w:tc>
        <w:tc>
          <w:tcPr>
            <w:tcW w:w="5280" w:type="dxa"/>
            <w:tcBorders>
              <w:bottom w:val="single" w:sz="4" w:space="0" w:color="auto"/>
            </w:tcBorders>
            <w:shd w:val="clear" w:color="auto" w:fill="F4E0E0"/>
            <w:tcMar>
              <w:top w:w="29" w:type="dxa"/>
              <w:left w:w="115" w:type="dxa"/>
              <w:bottom w:w="29" w:type="dxa"/>
              <w:right w:w="115" w:type="dxa"/>
            </w:tcMar>
            <w:vAlign w:val="center"/>
          </w:tcPr>
          <w:p w14:paraId="17A31986" w14:textId="77777777" w:rsidR="00CA6D7B" w:rsidRPr="001E515B" w:rsidRDefault="00CA6D7B" w:rsidP="00CB3941">
            <w:pPr>
              <w:spacing w:line="240" w:lineRule="auto"/>
              <w:rPr>
                <w:rFonts w:eastAsia="Times New Roman"/>
                <w:bCs/>
                <w:sz w:val="20"/>
                <w:szCs w:val="20"/>
              </w:rPr>
            </w:pPr>
            <w:r w:rsidRPr="001E515B">
              <w:rPr>
                <w:rFonts w:eastAsia="Times New Roman"/>
                <w:bCs/>
                <w:sz w:val="20"/>
                <w:szCs w:val="20"/>
              </w:rPr>
              <w:t>Based on Lower Boise River, this is a reach with a volume of 400 m</w:t>
            </w:r>
            <w:r w:rsidRPr="001E515B">
              <w:rPr>
                <w:rFonts w:eastAsia="Times New Roman"/>
                <w:bCs/>
                <w:sz w:val="20"/>
                <w:szCs w:val="20"/>
                <w:vertAlign w:val="superscript"/>
              </w:rPr>
              <w:t>3</w:t>
            </w:r>
            <w:r w:rsidRPr="001E515B">
              <w:rPr>
                <w:rFonts w:eastAsia="Times New Roman"/>
                <w:bCs/>
                <w:sz w:val="20"/>
                <w:szCs w:val="20"/>
              </w:rPr>
              <w:t xml:space="preserve"> and a retention time of 0.1 day</w:t>
            </w:r>
            <w:r>
              <w:rPr>
                <w:rFonts w:eastAsia="Times New Roman"/>
                <w:bCs/>
                <w:sz w:val="20"/>
                <w:szCs w:val="20"/>
              </w:rPr>
              <w:t>.  S</w:t>
            </w:r>
            <w:r w:rsidRPr="001E515B">
              <w:rPr>
                <w:rFonts w:eastAsia="Times New Roman"/>
                <w:bCs/>
                <w:sz w:val="20"/>
                <w:szCs w:val="20"/>
              </w:rPr>
              <w:t>et up for constant dosing for a period of time</w:t>
            </w:r>
            <w:r>
              <w:rPr>
                <w:rFonts w:eastAsia="Times New Roman"/>
                <w:bCs/>
                <w:sz w:val="20"/>
                <w:szCs w:val="20"/>
              </w:rPr>
              <w:t>.  S</w:t>
            </w:r>
            <w:r w:rsidRPr="001E515B">
              <w:rPr>
                <w:rFonts w:eastAsia="Times New Roman"/>
                <w:bCs/>
                <w:sz w:val="20"/>
                <w:szCs w:val="20"/>
              </w:rPr>
              <w:t>tudy uses fixed time step so it can be used for detecting lowest effect levels</w:t>
            </w:r>
            <w:r>
              <w:rPr>
                <w:rFonts w:eastAsia="Times New Roman"/>
                <w:bCs/>
                <w:sz w:val="20"/>
                <w:szCs w:val="20"/>
              </w:rPr>
              <w:t>.</w:t>
            </w:r>
          </w:p>
        </w:tc>
      </w:tr>
      <w:tr w:rsidR="00CA6D7B" w:rsidRPr="001E515B" w14:paraId="62101EAF" w14:textId="77777777" w:rsidTr="00CA6D7B">
        <w:trPr>
          <w:cantSplit/>
          <w:trHeight w:val="510"/>
        </w:trPr>
        <w:tc>
          <w:tcPr>
            <w:tcW w:w="2095" w:type="dxa"/>
            <w:tcBorders>
              <w:bottom w:val="single" w:sz="4" w:space="0" w:color="auto"/>
            </w:tcBorders>
            <w:shd w:val="clear" w:color="auto" w:fill="F4E0E0"/>
            <w:noWrap/>
            <w:tcMar>
              <w:top w:w="29" w:type="dxa"/>
              <w:left w:w="115" w:type="dxa"/>
              <w:bottom w:w="29" w:type="dxa"/>
              <w:right w:w="115" w:type="dxa"/>
            </w:tcMar>
            <w:vAlign w:val="center"/>
          </w:tcPr>
          <w:p w14:paraId="7711AC74" w14:textId="12563D14"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Ohio stream Chlorpyrifos </w:t>
            </w:r>
            <w:proofErr w:type="spellStart"/>
            <w:r w:rsidRPr="001E09C4">
              <w:rPr>
                <w:rFonts w:eastAsia="Times New Roman"/>
                <w:i/>
                <w:sz w:val="20"/>
                <w:szCs w:val="20"/>
              </w:rPr>
              <w:t>constant</w:t>
            </w:r>
            <w:r>
              <w:rPr>
                <w:rFonts w:eastAsia="Times New Roman"/>
                <w:i/>
                <w:sz w:val="20"/>
                <w:szCs w:val="20"/>
              </w:rPr>
              <w:t>.json</w:t>
            </w:r>
            <w:proofErr w:type="spellEnd"/>
          </w:p>
          <w:p w14:paraId="7C11D772" w14:textId="77777777" w:rsidR="00CA6D7B" w:rsidRPr="001E09C4" w:rsidRDefault="00CA6D7B" w:rsidP="00CB3941">
            <w:pPr>
              <w:spacing w:line="240" w:lineRule="auto"/>
              <w:rPr>
                <w:rFonts w:eastAsia="Times New Roman"/>
                <w:i/>
                <w:sz w:val="20"/>
                <w:szCs w:val="20"/>
              </w:rPr>
            </w:pPr>
            <w:r w:rsidRPr="00EF0D0F">
              <w:rPr>
                <w:rFonts w:eastAsia="Times New Roman"/>
                <w:i/>
                <w:sz w:val="20"/>
                <w:szCs w:val="20"/>
              </w:rPr>
              <w:t>(Roughly-calibrated mesocosm)</w:t>
            </w:r>
          </w:p>
          <w:p w14:paraId="5383339D" w14:textId="59BFA5E8"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Ohio stream Chlorpyrifos </w:t>
            </w:r>
            <w:proofErr w:type="spellStart"/>
            <w:r w:rsidRPr="001E09C4">
              <w:rPr>
                <w:rFonts w:eastAsia="Times New Roman"/>
                <w:i/>
                <w:sz w:val="20"/>
                <w:szCs w:val="20"/>
              </w:rPr>
              <w:t>pulsed</w:t>
            </w:r>
            <w:r>
              <w:rPr>
                <w:rFonts w:eastAsia="Times New Roman"/>
                <w:i/>
                <w:sz w:val="20"/>
                <w:szCs w:val="20"/>
              </w:rPr>
              <w:t>.json</w:t>
            </w:r>
            <w:proofErr w:type="spellEnd"/>
          </w:p>
        </w:tc>
        <w:tc>
          <w:tcPr>
            <w:tcW w:w="1050" w:type="dxa"/>
            <w:tcBorders>
              <w:bottom w:val="single" w:sz="4" w:space="0" w:color="auto"/>
            </w:tcBorders>
            <w:shd w:val="clear" w:color="auto" w:fill="F4E0E0"/>
            <w:noWrap/>
            <w:tcMar>
              <w:top w:w="29" w:type="dxa"/>
              <w:left w:w="58" w:type="dxa"/>
              <w:bottom w:w="29" w:type="dxa"/>
              <w:right w:w="58" w:type="dxa"/>
            </w:tcMar>
            <w:vAlign w:val="center"/>
          </w:tcPr>
          <w:p w14:paraId="6B5FE9F8"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Stream</w:t>
            </w:r>
          </w:p>
        </w:tc>
        <w:tc>
          <w:tcPr>
            <w:tcW w:w="1080" w:type="dxa"/>
            <w:tcBorders>
              <w:bottom w:val="single" w:sz="4" w:space="0" w:color="auto"/>
            </w:tcBorders>
            <w:shd w:val="clear" w:color="auto" w:fill="F4E0E0"/>
            <w:tcMar>
              <w:top w:w="29" w:type="dxa"/>
              <w:left w:w="115" w:type="dxa"/>
              <w:bottom w:w="29" w:type="dxa"/>
              <w:right w:w="115" w:type="dxa"/>
            </w:tcMar>
            <w:vAlign w:val="center"/>
          </w:tcPr>
          <w:p w14:paraId="599FCA6D" w14:textId="77777777" w:rsidR="00CA6D7B" w:rsidRPr="001E515B" w:rsidRDefault="00CA6D7B" w:rsidP="00CB3941">
            <w:pPr>
              <w:spacing w:line="240" w:lineRule="auto"/>
              <w:rPr>
                <w:rFonts w:eastAsia="Times New Roman"/>
                <w:sz w:val="20"/>
                <w:szCs w:val="20"/>
              </w:rPr>
            </w:pPr>
            <w:r>
              <w:rPr>
                <w:rFonts w:eastAsia="Times New Roman"/>
                <w:sz w:val="20"/>
                <w:szCs w:val="20"/>
              </w:rPr>
              <w:t>N</w:t>
            </w:r>
            <w:r w:rsidRPr="001E515B">
              <w:rPr>
                <w:rFonts w:eastAsia="Times New Roman"/>
                <w:sz w:val="20"/>
                <w:szCs w:val="20"/>
              </w:rPr>
              <w:t>orth central OH</w:t>
            </w:r>
          </w:p>
        </w:tc>
        <w:tc>
          <w:tcPr>
            <w:tcW w:w="5280" w:type="dxa"/>
            <w:tcBorders>
              <w:bottom w:val="single" w:sz="4" w:space="0" w:color="auto"/>
            </w:tcBorders>
            <w:shd w:val="clear" w:color="auto" w:fill="F4E0E0"/>
            <w:tcMar>
              <w:top w:w="29" w:type="dxa"/>
              <w:left w:w="115" w:type="dxa"/>
              <w:bottom w:w="29" w:type="dxa"/>
              <w:right w:w="115" w:type="dxa"/>
            </w:tcMar>
            <w:vAlign w:val="center"/>
          </w:tcPr>
          <w:p w14:paraId="56324865"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A small creek draining agricultural area, used as a generic study for various pesticides. One study has constant exposure and other has pesticide runoff during summer storms.</w:t>
            </w:r>
          </w:p>
        </w:tc>
      </w:tr>
      <w:tr w:rsidR="00CA6D7B" w:rsidRPr="001E515B" w14:paraId="514E36E4" w14:textId="77777777" w:rsidTr="00CA6D7B">
        <w:trPr>
          <w:cantSplit/>
          <w:trHeight w:val="1275"/>
        </w:trPr>
        <w:tc>
          <w:tcPr>
            <w:tcW w:w="2095" w:type="dxa"/>
            <w:tcBorders>
              <w:bottom w:val="single" w:sz="4" w:space="0" w:color="auto"/>
            </w:tcBorders>
            <w:shd w:val="clear" w:color="auto" w:fill="92D050"/>
            <w:noWrap/>
            <w:tcMar>
              <w:top w:w="29" w:type="dxa"/>
              <w:left w:w="115" w:type="dxa"/>
              <w:bottom w:w="29" w:type="dxa"/>
              <w:right w:w="115" w:type="dxa"/>
            </w:tcMar>
            <w:vAlign w:val="center"/>
          </w:tcPr>
          <w:p w14:paraId="1F76112B" w14:textId="1F48E556"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Coralville Res IA </w:t>
            </w:r>
            <w:proofErr w:type="spellStart"/>
            <w:r w:rsidRPr="001E09C4">
              <w:rPr>
                <w:rFonts w:eastAsia="Times New Roman"/>
                <w:i/>
                <w:sz w:val="20"/>
                <w:szCs w:val="20"/>
              </w:rPr>
              <w:t>Dieldrin</w:t>
            </w:r>
            <w:r>
              <w:rPr>
                <w:rFonts w:eastAsia="Times New Roman"/>
                <w:i/>
                <w:sz w:val="20"/>
                <w:szCs w:val="20"/>
              </w:rPr>
              <w:t>.json</w:t>
            </w:r>
            <w:proofErr w:type="spellEnd"/>
          </w:p>
          <w:p w14:paraId="0F7D6030" w14:textId="77777777" w:rsidR="00CA6D7B" w:rsidRPr="00EF0D0F" w:rsidRDefault="00CA6D7B" w:rsidP="00CB3941">
            <w:pPr>
              <w:spacing w:line="240" w:lineRule="auto"/>
              <w:rPr>
                <w:rFonts w:eastAsia="Times New Roman"/>
                <w:i/>
                <w:sz w:val="20"/>
                <w:szCs w:val="20"/>
              </w:rPr>
            </w:pPr>
          </w:p>
          <w:p w14:paraId="376A8D7B" w14:textId="343F8124" w:rsidR="00CA6D7B" w:rsidRPr="001E09C4" w:rsidRDefault="00CA6D7B" w:rsidP="00CA6D7B">
            <w:pPr>
              <w:spacing w:line="240" w:lineRule="auto"/>
              <w:rPr>
                <w:rFonts w:eastAsia="Times New Roman"/>
                <w:i/>
                <w:sz w:val="20"/>
                <w:szCs w:val="20"/>
              </w:rPr>
            </w:pPr>
            <w:r w:rsidRPr="00EF0D0F">
              <w:rPr>
                <w:rFonts w:eastAsia="Times New Roman"/>
                <w:i/>
                <w:sz w:val="20"/>
                <w:szCs w:val="20"/>
              </w:rPr>
              <w:t>(Well-calibrated chemical fate/effects)</w:t>
            </w:r>
          </w:p>
        </w:tc>
        <w:tc>
          <w:tcPr>
            <w:tcW w:w="1050" w:type="dxa"/>
            <w:tcBorders>
              <w:bottom w:val="single" w:sz="4" w:space="0" w:color="auto"/>
            </w:tcBorders>
            <w:shd w:val="clear" w:color="auto" w:fill="92D050"/>
            <w:noWrap/>
            <w:tcMar>
              <w:top w:w="29" w:type="dxa"/>
              <w:left w:w="58" w:type="dxa"/>
              <w:bottom w:w="29" w:type="dxa"/>
              <w:right w:w="58" w:type="dxa"/>
            </w:tcMar>
            <w:vAlign w:val="center"/>
          </w:tcPr>
          <w:p w14:paraId="0DC27490" w14:textId="6EE05638" w:rsidR="00CA6D7B" w:rsidRPr="001E515B" w:rsidRDefault="00CA6D7B" w:rsidP="00CB3941">
            <w:pPr>
              <w:spacing w:line="240" w:lineRule="auto"/>
              <w:rPr>
                <w:rFonts w:eastAsia="Times New Roman"/>
                <w:sz w:val="20"/>
                <w:szCs w:val="20"/>
              </w:rPr>
            </w:pPr>
            <w:r w:rsidRPr="001E515B">
              <w:rPr>
                <w:rFonts w:eastAsia="Times New Roman"/>
                <w:sz w:val="20"/>
                <w:szCs w:val="20"/>
              </w:rPr>
              <w:t>Reservoir</w:t>
            </w:r>
          </w:p>
        </w:tc>
        <w:tc>
          <w:tcPr>
            <w:tcW w:w="1080" w:type="dxa"/>
            <w:tcBorders>
              <w:bottom w:val="single" w:sz="4" w:space="0" w:color="auto"/>
            </w:tcBorders>
            <w:shd w:val="clear" w:color="auto" w:fill="92D050"/>
            <w:tcMar>
              <w:top w:w="29" w:type="dxa"/>
              <w:left w:w="115" w:type="dxa"/>
              <w:bottom w:w="29" w:type="dxa"/>
              <w:right w:w="115" w:type="dxa"/>
            </w:tcMar>
            <w:vAlign w:val="center"/>
          </w:tcPr>
          <w:p w14:paraId="77FE79B9" w14:textId="77777777" w:rsidR="00CA6D7B" w:rsidRPr="001E515B" w:rsidRDefault="00CA6D7B" w:rsidP="00CB3941">
            <w:pPr>
              <w:spacing w:line="240" w:lineRule="auto"/>
              <w:rPr>
                <w:rFonts w:eastAsia="Times New Roman"/>
                <w:sz w:val="20"/>
                <w:szCs w:val="20"/>
              </w:rPr>
            </w:pPr>
            <w:r>
              <w:rPr>
                <w:rFonts w:eastAsia="Times New Roman"/>
                <w:sz w:val="20"/>
                <w:szCs w:val="20"/>
              </w:rPr>
              <w:t>N</w:t>
            </w:r>
            <w:r w:rsidRPr="001E515B">
              <w:rPr>
                <w:rFonts w:eastAsia="Times New Roman"/>
                <w:sz w:val="20"/>
                <w:szCs w:val="20"/>
              </w:rPr>
              <w:t>ear Iowa City IA</w:t>
            </w:r>
          </w:p>
        </w:tc>
        <w:tc>
          <w:tcPr>
            <w:tcW w:w="5280" w:type="dxa"/>
            <w:tcBorders>
              <w:bottom w:val="single" w:sz="4" w:space="0" w:color="auto"/>
            </w:tcBorders>
            <w:shd w:val="clear" w:color="auto" w:fill="92D050"/>
            <w:tcMar>
              <w:top w:w="29" w:type="dxa"/>
              <w:left w:w="115" w:type="dxa"/>
              <w:bottom w:w="29" w:type="dxa"/>
              <w:right w:w="115" w:type="dxa"/>
            </w:tcMar>
            <w:vAlign w:val="center"/>
          </w:tcPr>
          <w:p w14:paraId="4AF5F0E0" w14:textId="77777777" w:rsidR="00CA6D7B" w:rsidRDefault="00CA6D7B" w:rsidP="00CB3941">
            <w:pPr>
              <w:spacing w:line="240" w:lineRule="auto"/>
              <w:rPr>
                <w:rFonts w:eastAsia="Times New Roman"/>
                <w:sz w:val="20"/>
                <w:szCs w:val="20"/>
              </w:rPr>
            </w:pPr>
          </w:p>
          <w:p w14:paraId="7B1E37C3" w14:textId="58268C61" w:rsidR="00CA6D7B" w:rsidRPr="001E515B" w:rsidRDefault="00CA6D7B" w:rsidP="00CA6D7B">
            <w:pPr>
              <w:spacing w:line="240" w:lineRule="auto"/>
              <w:rPr>
                <w:rFonts w:eastAsia="Times New Roman"/>
                <w:sz w:val="20"/>
                <w:szCs w:val="20"/>
              </w:rPr>
            </w:pPr>
            <w:r w:rsidRPr="001E515B">
              <w:rPr>
                <w:rFonts w:eastAsia="Times New Roman"/>
                <w:sz w:val="20"/>
                <w:szCs w:val="20"/>
              </w:rPr>
              <w:t xml:space="preserve">Coralville Reservoir is a large, shallow, eutrophic reservoir. The drainage area is over 90% agricultural, especially corn. Runoff carries large amounts of fertilizer, animal wastes, silt, and pesticides into the reservoir. By the early 1970’s, the population of largemouth bass and fish other than buffalofish began to decline and residues of the pesticides aldrin and dieldrin greatly increased in tissue samples </w:t>
            </w:r>
            <w:r w:rsidRPr="001E515B">
              <w:rPr>
                <w:rFonts w:eastAsia="Times New Roman"/>
                <w:sz w:val="20"/>
                <w:szCs w:val="20"/>
              </w:rPr>
              <w:fldChar w:fldCharType="begin"/>
            </w:r>
            <w:r>
              <w:rPr>
                <w:rFonts w:eastAsia="Times New Roman"/>
                <w:sz w:val="20"/>
                <w:szCs w:val="20"/>
              </w:rPr>
              <w:instrText xml:space="preserve"> ADDIN EN.CITE &lt;EndNote&gt;&lt;Cite&gt;&lt;Author&gt;Mauriello&lt;/Author&gt;&lt;Year&gt;2002&lt;/Year&gt;&lt;RecNum&gt;95&lt;/RecNum&gt;&lt;DisplayText&gt;(Mauriello and Park 2002)&lt;/DisplayText&gt;&lt;record&gt;&lt;rec-number&gt;95&lt;/rec-number&gt;&lt;foreign-keys&gt;&lt;key app="EN" db-id="pa0fvtx0wtvp9ne5s0fpesexxdetsa0zrf9v" timestamp="0"&gt;95&lt;/key&gt;&lt;/foreign-keys&gt;&lt;ref-type name="Conference Proceedings"&gt;10&lt;/ref-type&gt;&lt;contributors&gt;&lt;authors&gt;&lt;author&gt;Mauriello, David A.&lt;/author&gt;&lt;author&gt;Park, Richard A.&lt;/author&gt;&lt;/authors&gt;&lt;secondary-authors&gt;&lt;author&gt;Rizzoli, Andrea E.&lt;/author&gt;&lt;author&gt;Jakeman, Anthony J.&lt;/author&gt;&lt;/secondary-authors&gt;&lt;/contributors&gt;&lt;titles&gt;&lt;title&gt;An Adaptive Framework for Ecological Assessment and Management&lt;/title&gt;&lt;secondary-title&gt;Integrated Assessment and Decision Support&lt;/secondary-title&gt;&lt;/titles&gt;&lt;pages&gt;509-514&lt;/pages&gt;&lt;dates&gt;&lt;year&gt;2002&lt;/year&gt;&lt;/dates&gt;&lt;pub-location&gt;Manno Switzerland&lt;/pub-location&gt;&lt;publisher&gt;International Environmental Modeling and Software Society&lt;/publisher&gt;&lt;urls&gt;&lt;/urls&gt;&lt;/record&gt;&lt;/Cite&gt;&lt;/EndNote&gt;</w:instrText>
            </w:r>
            <w:r w:rsidRPr="001E515B">
              <w:rPr>
                <w:rFonts w:eastAsia="Times New Roman"/>
                <w:sz w:val="20"/>
                <w:szCs w:val="20"/>
              </w:rPr>
              <w:fldChar w:fldCharType="separate"/>
            </w:r>
            <w:r>
              <w:rPr>
                <w:rFonts w:eastAsia="Times New Roman"/>
                <w:noProof/>
                <w:sz w:val="20"/>
                <w:szCs w:val="20"/>
              </w:rPr>
              <w:t>(</w:t>
            </w:r>
            <w:hyperlink w:anchor="_ENREF_6" w:tooltip="Mauriello, 2002 #95" w:history="1">
              <w:r>
                <w:rPr>
                  <w:rFonts w:eastAsia="Times New Roman"/>
                  <w:noProof/>
                  <w:sz w:val="20"/>
                  <w:szCs w:val="20"/>
                </w:rPr>
                <w:t>Mauriello and Park 2002</w:t>
              </w:r>
            </w:hyperlink>
            <w:r>
              <w:rPr>
                <w:rFonts w:eastAsia="Times New Roman"/>
                <w:noProof/>
                <w:sz w:val="20"/>
                <w:szCs w:val="20"/>
              </w:rPr>
              <w:t>)</w:t>
            </w:r>
            <w:r w:rsidRPr="001E515B">
              <w:rPr>
                <w:rFonts w:eastAsia="Times New Roman"/>
                <w:sz w:val="20"/>
                <w:szCs w:val="20"/>
              </w:rPr>
              <w:fldChar w:fldCharType="end"/>
            </w:r>
            <w:r w:rsidRPr="001E515B">
              <w:rPr>
                <w:rFonts w:eastAsia="Times New Roman"/>
                <w:sz w:val="20"/>
                <w:szCs w:val="20"/>
              </w:rPr>
              <w:t>.</w:t>
            </w:r>
          </w:p>
        </w:tc>
      </w:tr>
      <w:tr w:rsidR="00CA6D7B" w:rsidRPr="001E515B" w14:paraId="0F52428C" w14:textId="77777777" w:rsidTr="00CA6D7B">
        <w:trPr>
          <w:cantSplit/>
          <w:trHeight w:val="510"/>
        </w:trPr>
        <w:tc>
          <w:tcPr>
            <w:tcW w:w="2095" w:type="dxa"/>
            <w:shd w:val="clear" w:color="auto" w:fill="92D050"/>
            <w:noWrap/>
            <w:tcMar>
              <w:top w:w="29" w:type="dxa"/>
              <w:left w:w="115" w:type="dxa"/>
              <w:bottom w:w="29" w:type="dxa"/>
              <w:right w:w="115" w:type="dxa"/>
            </w:tcMar>
            <w:vAlign w:val="center"/>
          </w:tcPr>
          <w:p w14:paraId="409C96D4" w14:textId="14752F61"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Evers Res </w:t>
            </w:r>
            <w:proofErr w:type="spellStart"/>
            <w:r w:rsidRPr="001E09C4">
              <w:rPr>
                <w:rFonts w:eastAsia="Times New Roman"/>
                <w:i/>
                <w:sz w:val="20"/>
                <w:szCs w:val="20"/>
              </w:rPr>
              <w:t>FL</w:t>
            </w:r>
            <w:r>
              <w:rPr>
                <w:rFonts w:eastAsia="Times New Roman"/>
                <w:i/>
                <w:sz w:val="20"/>
                <w:szCs w:val="20"/>
              </w:rPr>
              <w:t>.json</w:t>
            </w:r>
            <w:proofErr w:type="spellEnd"/>
          </w:p>
          <w:p w14:paraId="5253203A" w14:textId="77777777" w:rsidR="00CA6D7B" w:rsidRPr="00EF0D0F" w:rsidRDefault="00CA6D7B" w:rsidP="00CB3941">
            <w:pPr>
              <w:spacing w:line="240" w:lineRule="auto"/>
              <w:rPr>
                <w:rFonts w:eastAsia="Times New Roman"/>
                <w:i/>
                <w:sz w:val="20"/>
                <w:szCs w:val="20"/>
              </w:rPr>
            </w:pPr>
            <w:r w:rsidRPr="00EF0D0F">
              <w:rPr>
                <w:rFonts w:eastAsia="Times New Roman"/>
                <w:i/>
                <w:sz w:val="20"/>
                <w:szCs w:val="20"/>
              </w:rPr>
              <w:t>(Well-calibrated chemical fate/effects)</w:t>
            </w:r>
          </w:p>
        </w:tc>
        <w:tc>
          <w:tcPr>
            <w:tcW w:w="1050" w:type="dxa"/>
            <w:shd w:val="clear" w:color="auto" w:fill="92D050"/>
            <w:noWrap/>
            <w:tcMar>
              <w:top w:w="29" w:type="dxa"/>
              <w:left w:w="58" w:type="dxa"/>
              <w:bottom w:w="29" w:type="dxa"/>
              <w:right w:w="58" w:type="dxa"/>
            </w:tcMar>
            <w:vAlign w:val="center"/>
          </w:tcPr>
          <w:p w14:paraId="5A082969" w14:textId="2F5882C7" w:rsidR="00CA6D7B" w:rsidRPr="001E515B" w:rsidRDefault="00CA6D7B" w:rsidP="00CB3941">
            <w:pPr>
              <w:spacing w:line="240" w:lineRule="auto"/>
              <w:rPr>
                <w:rFonts w:eastAsia="Times New Roman"/>
                <w:sz w:val="20"/>
                <w:szCs w:val="20"/>
              </w:rPr>
            </w:pPr>
            <w:r w:rsidRPr="001E515B">
              <w:rPr>
                <w:rFonts w:eastAsia="Times New Roman"/>
                <w:sz w:val="20"/>
                <w:szCs w:val="20"/>
              </w:rPr>
              <w:t>Reservoir</w:t>
            </w:r>
          </w:p>
        </w:tc>
        <w:tc>
          <w:tcPr>
            <w:tcW w:w="1080" w:type="dxa"/>
            <w:shd w:val="clear" w:color="auto" w:fill="92D050"/>
            <w:tcMar>
              <w:top w:w="29" w:type="dxa"/>
              <w:left w:w="115" w:type="dxa"/>
              <w:bottom w:w="29" w:type="dxa"/>
              <w:right w:w="115" w:type="dxa"/>
            </w:tcMar>
            <w:vAlign w:val="center"/>
          </w:tcPr>
          <w:p w14:paraId="062980E8"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Bradenton FL</w:t>
            </w:r>
          </w:p>
        </w:tc>
        <w:tc>
          <w:tcPr>
            <w:tcW w:w="5280" w:type="dxa"/>
            <w:shd w:val="clear" w:color="auto" w:fill="92D050"/>
            <w:tcMar>
              <w:top w:w="29" w:type="dxa"/>
              <w:left w:w="115" w:type="dxa"/>
              <w:bottom w:w="29" w:type="dxa"/>
              <w:right w:w="115" w:type="dxa"/>
            </w:tcMar>
            <w:vAlign w:val="center"/>
          </w:tcPr>
          <w:p w14:paraId="01F0D61A" w14:textId="77777777" w:rsidR="00CA6D7B" w:rsidRPr="001E515B" w:rsidRDefault="00CA6D7B" w:rsidP="00CB3941">
            <w:pPr>
              <w:spacing w:line="240" w:lineRule="auto"/>
              <w:rPr>
                <w:rFonts w:eastAsia="Times New Roman"/>
                <w:sz w:val="20"/>
                <w:szCs w:val="20"/>
              </w:rPr>
            </w:pPr>
            <w:r w:rsidRPr="001E515B">
              <w:rPr>
                <w:rFonts w:eastAsia="Times New Roman"/>
                <w:bCs/>
                <w:sz w:val="20"/>
                <w:szCs w:val="20"/>
              </w:rPr>
              <w:t>A reservoir with increasing algal blooms, treated with copper sulfate and hydrogen peroxide. Simulated by Dr. Don Blancher, Sustainable Ecosystem Restoration, LLC</w:t>
            </w:r>
          </w:p>
        </w:tc>
      </w:tr>
      <w:tr w:rsidR="00CA6D7B" w:rsidRPr="001E515B" w14:paraId="2E472B61" w14:textId="77777777" w:rsidTr="00CA6D7B">
        <w:trPr>
          <w:cantSplit/>
          <w:trHeight w:val="2688"/>
        </w:trPr>
        <w:tc>
          <w:tcPr>
            <w:tcW w:w="2095" w:type="dxa"/>
            <w:tcBorders>
              <w:bottom w:val="single" w:sz="4" w:space="0" w:color="auto"/>
            </w:tcBorders>
            <w:shd w:val="clear" w:color="auto" w:fill="92D050"/>
            <w:noWrap/>
            <w:tcMar>
              <w:top w:w="29" w:type="dxa"/>
              <w:left w:w="115" w:type="dxa"/>
              <w:bottom w:w="29" w:type="dxa"/>
              <w:right w:w="115" w:type="dxa"/>
            </w:tcMar>
            <w:vAlign w:val="center"/>
          </w:tcPr>
          <w:p w14:paraId="57B334E8" w14:textId="664F37F6"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Skensved Denmark </w:t>
            </w:r>
            <w:proofErr w:type="spellStart"/>
            <w:r w:rsidRPr="001E09C4">
              <w:rPr>
                <w:rFonts w:eastAsia="Times New Roman"/>
                <w:i/>
                <w:sz w:val="20"/>
                <w:szCs w:val="20"/>
              </w:rPr>
              <w:t>TCE</w:t>
            </w:r>
            <w:r>
              <w:rPr>
                <w:rFonts w:eastAsia="Times New Roman"/>
                <w:i/>
                <w:sz w:val="20"/>
                <w:szCs w:val="20"/>
              </w:rPr>
              <w:t>.json</w:t>
            </w:r>
            <w:proofErr w:type="spellEnd"/>
          </w:p>
          <w:p w14:paraId="110194DB" w14:textId="77777777" w:rsidR="00CA6D7B" w:rsidRPr="00EF0D0F" w:rsidRDefault="00CA6D7B" w:rsidP="00CB3941">
            <w:pPr>
              <w:spacing w:line="240" w:lineRule="auto"/>
              <w:rPr>
                <w:rFonts w:eastAsia="Times New Roman"/>
                <w:i/>
                <w:sz w:val="20"/>
                <w:szCs w:val="20"/>
              </w:rPr>
            </w:pPr>
            <w:r w:rsidRPr="00EF0D0F">
              <w:rPr>
                <w:rFonts w:eastAsia="Times New Roman"/>
                <w:i/>
                <w:sz w:val="20"/>
                <w:szCs w:val="20"/>
              </w:rPr>
              <w:t>(well-calibrated chemical fate/effects)</w:t>
            </w:r>
          </w:p>
          <w:p w14:paraId="04B8509B" w14:textId="382C5521"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Skensved Denmark </w:t>
            </w:r>
            <w:proofErr w:type="spellStart"/>
            <w:r w:rsidRPr="001E09C4">
              <w:rPr>
                <w:rFonts w:eastAsia="Times New Roman"/>
                <w:i/>
                <w:sz w:val="20"/>
                <w:szCs w:val="20"/>
              </w:rPr>
              <w:t>Atrazine</w:t>
            </w:r>
            <w:r>
              <w:rPr>
                <w:rFonts w:eastAsia="Times New Roman"/>
                <w:i/>
                <w:sz w:val="20"/>
                <w:szCs w:val="20"/>
              </w:rPr>
              <w:t>.json</w:t>
            </w:r>
            <w:proofErr w:type="spellEnd"/>
          </w:p>
        </w:tc>
        <w:tc>
          <w:tcPr>
            <w:tcW w:w="1050" w:type="dxa"/>
            <w:tcBorders>
              <w:bottom w:val="single" w:sz="4" w:space="0" w:color="auto"/>
            </w:tcBorders>
            <w:shd w:val="clear" w:color="auto" w:fill="92D050"/>
            <w:noWrap/>
            <w:tcMar>
              <w:top w:w="29" w:type="dxa"/>
              <w:left w:w="58" w:type="dxa"/>
              <w:bottom w:w="29" w:type="dxa"/>
              <w:right w:w="58" w:type="dxa"/>
            </w:tcMar>
            <w:vAlign w:val="center"/>
          </w:tcPr>
          <w:p w14:paraId="2DF902E2"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Stream</w:t>
            </w:r>
          </w:p>
        </w:tc>
        <w:tc>
          <w:tcPr>
            <w:tcW w:w="1080" w:type="dxa"/>
            <w:tcBorders>
              <w:bottom w:val="single" w:sz="4" w:space="0" w:color="auto"/>
            </w:tcBorders>
            <w:shd w:val="clear" w:color="auto" w:fill="92D050"/>
            <w:tcMar>
              <w:top w:w="29" w:type="dxa"/>
              <w:left w:w="115" w:type="dxa"/>
              <w:bottom w:w="29" w:type="dxa"/>
              <w:right w:w="115" w:type="dxa"/>
            </w:tcMar>
            <w:vAlign w:val="center"/>
          </w:tcPr>
          <w:p w14:paraId="44F050E6"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Denmark</w:t>
            </w:r>
          </w:p>
        </w:tc>
        <w:tc>
          <w:tcPr>
            <w:tcW w:w="5280" w:type="dxa"/>
            <w:tcBorders>
              <w:bottom w:val="single" w:sz="4" w:space="0" w:color="auto"/>
            </w:tcBorders>
            <w:shd w:val="clear" w:color="auto" w:fill="92D050"/>
            <w:tcMar>
              <w:top w:w="29" w:type="dxa"/>
              <w:left w:w="115" w:type="dxa"/>
              <w:bottom w:w="29" w:type="dxa"/>
              <w:right w:w="115" w:type="dxa"/>
            </w:tcMar>
            <w:vAlign w:val="center"/>
          </w:tcPr>
          <w:p w14:paraId="0F1093E4" w14:textId="77777777" w:rsidR="00CA6D7B" w:rsidRDefault="00CA6D7B" w:rsidP="00CB3941">
            <w:pPr>
              <w:spacing w:line="240" w:lineRule="auto"/>
              <w:rPr>
                <w:rFonts w:eastAsia="Times New Roman"/>
                <w:sz w:val="20"/>
                <w:szCs w:val="20"/>
              </w:rPr>
            </w:pPr>
            <w:r w:rsidRPr="00133E51">
              <w:rPr>
                <w:rFonts w:eastAsia="Times New Roman"/>
                <w:b/>
                <w:sz w:val="20"/>
                <w:szCs w:val="20"/>
              </w:rPr>
              <w:t>Studies produced by external researchers --</w:t>
            </w:r>
            <w:r>
              <w:rPr>
                <w:rFonts w:eastAsia="Times New Roman"/>
                <w:sz w:val="20"/>
                <w:szCs w:val="20"/>
              </w:rPr>
              <w:t xml:space="preserve"> </w:t>
            </w:r>
            <w:r w:rsidRPr="001E515B">
              <w:rPr>
                <w:rFonts w:eastAsia="Times New Roman"/>
                <w:sz w:val="20"/>
                <w:szCs w:val="20"/>
              </w:rPr>
              <w:t>Simon Funder and Dr. Ursula McKnight of the Technical Univ. of Denmark,</w:t>
            </w:r>
          </w:p>
          <w:p w14:paraId="0A0649BA" w14:textId="77777777" w:rsidR="00CA6D7B" w:rsidRPr="001E515B" w:rsidRDefault="00CA6D7B" w:rsidP="00133E51">
            <w:pPr>
              <w:spacing w:line="240" w:lineRule="auto"/>
              <w:rPr>
                <w:rFonts w:eastAsia="Times New Roman"/>
                <w:sz w:val="20"/>
                <w:szCs w:val="20"/>
              </w:rPr>
            </w:pPr>
            <w:r w:rsidRPr="001E515B">
              <w:rPr>
                <w:rFonts w:eastAsia="Times New Roman"/>
                <w:sz w:val="20"/>
                <w:szCs w:val="20"/>
              </w:rPr>
              <w:t>Groundwater with trichloroethene from a leaking tank is polluting a small stream</w:t>
            </w:r>
            <w:r>
              <w:rPr>
                <w:rFonts w:eastAsia="Times New Roman"/>
                <w:sz w:val="20"/>
                <w:szCs w:val="20"/>
              </w:rPr>
              <w:t xml:space="preserve">. </w:t>
            </w:r>
            <w:r w:rsidRPr="001E515B">
              <w:rPr>
                <w:rFonts w:eastAsia="Times New Roman"/>
                <w:sz w:val="20"/>
                <w:szCs w:val="20"/>
              </w:rPr>
              <w:t xml:space="preserve"> </w:t>
            </w:r>
            <w:r>
              <w:rPr>
                <w:rFonts w:eastAsia="Times New Roman"/>
                <w:sz w:val="20"/>
                <w:szCs w:val="20"/>
              </w:rPr>
              <w:t xml:space="preserve">Researchers </w:t>
            </w:r>
            <w:r w:rsidRPr="001E515B">
              <w:rPr>
                <w:rFonts w:eastAsia="Times New Roman"/>
                <w:sz w:val="20"/>
                <w:szCs w:val="20"/>
              </w:rPr>
              <w:t xml:space="preserve">used AQUATOX to show the </w:t>
            </w:r>
            <w:r w:rsidRPr="001E515B">
              <w:rPr>
                <w:rFonts w:eastAsia="Times New Roman"/>
                <w:b/>
                <w:sz w:val="20"/>
                <w:szCs w:val="20"/>
              </w:rPr>
              <w:t>impacts are probably</w:t>
            </w:r>
            <w:r w:rsidRPr="001E515B">
              <w:rPr>
                <w:rFonts w:eastAsia="Times New Roman"/>
                <w:sz w:val="20"/>
                <w:szCs w:val="20"/>
              </w:rPr>
              <w:t xml:space="preserve"> </w:t>
            </w:r>
            <w:r w:rsidRPr="001E515B">
              <w:rPr>
                <w:rFonts w:eastAsia="Times New Roman"/>
                <w:b/>
                <w:sz w:val="20"/>
                <w:szCs w:val="20"/>
              </w:rPr>
              <w:t>negligible</w:t>
            </w:r>
            <w:r w:rsidRPr="001E515B">
              <w:rPr>
                <w:rFonts w:eastAsia="Times New Roman"/>
                <w:sz w:val="20"/>
                <w:szCs w:val="20"/>
              </w:rPr>
              <w:t>. The same setup with atrazine does show some direct and indirect ecotoxicological effects</w:t>
            </w:r>
            <w:r>
              <w:rPr>
                <w:rFonts w:eastAsia="Times New Roman"/>
                <w:sz w:val="20"/>
                <w:szCs w:val="20"/>
              </w:rPr>
              <w:t>.  C</w:t>
            </w:r>
            <w:r w:rsidRPr="001E515B">
              <w:rPr>
                <w:rFonts w:eastAsia="Times New Roman"/>
                <w:sz w:val="20"/>
                <w:szCs w:val="20"/>
              </w:rPr>
              <w:t>onc</w:t>
            </w:r>
            <w:r>
              <w:rPr>
                <w:rFonts w:eastAsia="Times New Roman"/>
                <w:sz w:val="20"/>
                <w:szCs w:val="20"/>
              </w:rPr>
              <w:t xml:space="preserve">s. </w:t>
            </w:r>
            <w:r w:rsidRPr="001E515B">
              <w:rPr>
                <w:rFonts w:eastAsia="Times New Roman"/>
                <w:sz w:val="20"/>
                <w:szCs w:val="20"/>
              </w:rPr>
              <w:t>are near the no effects level</w:t>
            </w:r>
            <w:r>
              <w:rPr>
                <w:rFonts w:eastAsia="Times New Roman"/>
                <w:sz w:val="20"/>
                <w:szCs w:val="20"/>
              </w:rPr>
              <w:t xml:space="preserve"> so</w:t>
            </w:r>
            <w:r w:rsidRPr="001E515B">
              <w:rPr>
                <w:rFonts w:eastAsia="Times New Roman"/>
                <w:sz w:val="20"/>
                <w:szCs w:val="20"/>
              </w:rPr>
              <w:t xml:space="preserve"> the option for a fixed </w:t>
            </w:r>
            <w:r>
              <w:rPr>
                <w:rFonts w:eastAsia="Times New Roman"/>
                <w:sz w:val="20"/>
                <w:szCs w:val="20"/>
              </w:rPr>
              <w:t>time step</w:t>
            </w:r>
            <w:r w:rsidRPr="001E515B">
              <w:rPr>
                <w:rFonts w:eastAsia="Times New Roman"/>
                <w:sz w:val="20"/>
                <w:szCs w:val="20"/>
              </w:rPr>
              <w:t xml:space="preserve"> was </w:t>
            </w:r>
            <w:r>
              <w:rPr>
                <w:rFonts w:eastAsia="Times New Roman"/>
                <w:sz w:val="20"/>
                <w:szCs w:val="20"/>
              </w:rPr>
              <w:t>chosen</w:t>
            </w:r>
            <w:r w:rsidRPr="001E515B">
              <w:rPr>
                <w:rFonts w:eastAsia="Times New Roman"/>
                <w:sz w:val="20"/>
                <w:szCs w:val="20"/>
              </w:rPr>
              <w:t>.</w:t>
            </w:r>
          </w:p>
        </w:tc>
      </w:tr>
      <w:tr w:rsidR="00CA6D7B" w:rsidRPr="001E515B" w14:paraId="352A065D" w14:textId="77777777" w:rsidTr="00CA6D7B">
        <w:trPr>
          <w:cantSplit/>
          <w:trHeight w:val="2040"/>
        </w:trPr>
        <w:tc>
          <w:tcPr>
            <w:tcW w:w="2095" w:type="dxa"/>
            <w:tcBorders>
              <w:bottom w:val="single" w:sz="4" w:space="0" w:color="auto"/>
            </w:tcBorders>
            <w:shd w:val="clear" w:color="auto" w:fill="D2ECB6"/>
            <w:noWrap/>
            <w:tcMar>
              <w:top w:w="29" w:type="dxa"/>
              <w:left w:w="115" w:type="dxa"/>
              <w:bottom w:w="29" w:type="dxa"/>
              <w:right w:w="115" w:type="dxa"/>
            </w:tcMar>
            <w:vAlign w:val="center"/>
          </w:tcPr>
          <w:p w14:paraId="7B57F4A9" w14:textId="569CC3F1" w:rsidR="00CA6D7B" w:rsidRPr="001E09C4" w:rsidRDefault="00CA6D7B" w:rsidP="00CB3941">
            <w:pPr>
              <w:spacing w:line="240" w:lineRule="auto"/>
              <w:rPr>
                <w:rFonts w:eastAsia="Times New Roman"/>
                <w:i/>
                <w:sz w:val="20"/>
                <w:szCs w:val="20"/>
              </w:rPr>
            </w:pPr>
            <w:r w:rsidRPr="001E09C4">
              <w:rPr>
                <w:rFonts w:eastAsia="Times New Roman"/>
                <w:i/>
                <w:sz w:val="20"/>
                <w:szCs w:val="20"/>
              </w:rPr>
              <w:lastRenderedPageBreak/>
              <w:t xml:space="preserve">Clear Lake CA </w:t>
            </w:r>
            <w:proofErr w:type="spellStart"/>
            <w:r w:rsidRPr="001E09C4">
              <w:rPr>
                <w:rFonts w:eastAsia="Times New Roman"/>
                <w:i/>
                <w:sz w:val="20"/>
                <w:szCs w:val="20"/>
              </w:rPr>
              <w:t>Fluridone</w:t>
            </w:r>
            <w:r>
              <w:rPr>
                <w:rFonts w:eastAsia="Times New Roman"/>
                <w:i/>
                <w:sz w:val="20"/>
                <w:szCs w:val="20"/>
              </w:rPr>
              <w:t>.json</w:t>
            </w:r>
            <w:proofErr w:type="spellEnd"/>
          </w:p>
          <w:p w14:paraId="78520215" w14:textId="77777777" w:rsidR="00CA6D7B" w:rsidRPr="00EF0D0F" w:rsidRDefault="00CA6D7B" w:rsidP="00CB3941">
            <w:pPr>
              <w:spacing w:line="240" w:lineRule="auto"/>
              <w:rPr>
                <w:rFonts w:eastAsia="Times New Roman"/>
                <w:i/>
                <w:sz w:val="20"/>
                <w:szCs w:val="20"/>
              </w:rPr>
            </w:pPr>
            <w:r w:rsidRPr="00EF0D0F">
              <w:rPr>
                <w:rFonts w:eastAsia="Times New Roman"/>
                <w:i/>
                <w:sz w:val="20"/>
                <w:szCs w:val="20"/>
              </w:rPr>
              <w:t>(Roughly-calibrated chemical fate/effects)</w:t>
            </w:r>
          </w:p>
        </w:tc>
        <w:tc>
          <w:tcPr>
            <w:tcW w:w="1050" w:type="dxa"/>
            <w:tcBorders>
              <w:bottom w:val="single" w:sz="4" w:space="0" w:color="auto"/>
            </w:tcBorders>
            <w:shd w:val="clear" w:color="auto" w:fill="D2ECB6"/>
            <w:noWrap/>
            <w:tcMar>
              <w:top w:w="29" w:type="dxa"/>
              <w:left w:w="58" w:type="dxa"/>
              <w:bottom w:w="29" w:type="dxa"/>
              <w:right w:w="58" w:type="dxa"/>
            </w:tcMar>
            <w:vAlign w:val="center"/>
          </w:tcPr>
          <w:p w14:paraId="7D26E838"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Lake</w:t>
            </w:r>
          </w:p>
        </w:tc>
        <w:tc>
          <w:tcPr>
            <w:tcW w:w="1080" w:type="dxa"/>
            <w:tcBorders>
              <w:bottom w:val="single" w:sz="4" w:space="0" w:color="auto"/>
            </w:tcBorders>
            <w:shd w:val="clear" w:color="auto" w:fill="D2ECB6"/>
            <w:tcMar>
              <w:top w:w="29" w:type="dxa"/>
              <w:left w:w="115" w:type="dxa"/>
              <w:bottom w:w="29" w:type="dxa"/>
              <w:right w:w="115" w:type="dxa"/>
            </w:tcMar>
            <w:vAlign w:val="center"/>
          </w:tcPr>
          <w:p w14:paraId="58A7B1A4"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Central CA</w:t>
            </w:r>
          </w:p>
        </w:tc>
        <w:tc>
          <w:tcPr>
            <w:tcW w:w="5280" w:type="dxa"/>
            <w:tcBorders>
              <w:bottom w:val="single" w:sz="4" w:space="0" w:color="auto"/>
            </w:tcBorders>
            <w:shd w:val="clear" w:color="auto" w:fill="D2ECB6"/>
            <w:tcMar>
              <w:top w:w="29" w:type="dxa"/>
              <w:left w:w="115" w:type="dxa"/>
              <w:bottom w:w="29" w:type="dxa"/>
              <w:right w:w="115" w:type="dxa"/>
            </w:tcMar>
            <w:vAlign w:val="center"/>
          </w:tcPr>
          <w:p w14:paraId="2630B204"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Roughly based on Clear Lake</w:t>
            </w:r>
            <w:r>
              <w:rPr>
                <w:rFonts w:eastAsia="Times New Roman"/>
                <w:sz w:val="20"/>
                <w:szCs w:val="20"/>
              </w:rPr>
              <w:t xml:space="preserve"> CA</w:t>
            </w:r>
            <w:r w:rsidRPr="001E515B">
              <w:rPr>
                <w:rFonts w:eastAsia="Times New Roman"/>
                <w:sz w:val="20"/>
                <w:szCs w:val="20"/>
              </w:rPr>
              <w:t xml:space="preserve">, a large, shallow, eutrophic lake with cyanobacteria blooms.  Sonar (fluridone) has been used successfully in Clear Lake to eradicate </w:t>
            </w:r>
            <w:r w:rsidRPr="001E515B">
              <w:rPr>
                <w:rFonts w:eastAsia="Times New Roman"/>
                <w:i/>
                <w:sz w:val="20"/>
                <w:szCs w:val="20"/>
              </w:rPr>
              <w:t>Hydrilla</w:t>
            </w:r>
            <w:r w:rsidRPr="001E515B">
              <w:rPr>
                <w:rFonts w:eastAsia="Times New Roman"/>
                <w:sz w:val="20"/>
                <w:szCs w:val="20"/>
              </w:rPr>
              <w:t xml:space="preserve">.  Although </w:t>
            </w:r>
            <w:r w:rsidRPr="001E515B">
              <w:rPr>
                <w:rFonts w:eastAsia="Times New Roman"/>
                <w:i/>
                <w:sz w:val="20"/>
                <w:szCs w:val="20"/>
              </w:rPr>
              <w:t>Hydrilla</w:t>
            </w:r>
            <w:r w:rsidRPr="001E515B">
              <w:rPr>
                <w:rFonts w:eastAsia="Times New Roman"/>
                <w:sz w:val="20"/>
                <w:szCs w:val="20"/>
              </w:rPr>
              <w:t xml:space="preserve"> did not appear until 1994, the study is set up with 1970-1971 ecosystem data.  Note that the fluridone loadings are for 1971 but without bracketing the simulation period with 0 loadings</w:t>
            </w:r>
            <w:r>
              <w:rPr>
                <w:rFonts w:eastAsia="Times New Roman"/>
                <w:sz w:val="20"/>
                <w:szCs w:val="20"/>
              </w:rPr>
              <w:t>.  T</w:t>
            </w:r>
            <w:r w:rsidRPr="001E515B">
              <w:rPr>
                <w:rFonts w:eastAsia="Times New Roman"/>
                <w:sz w:val="20"/>
                <w:szCs w:val="20"/>
              </w:rPr>
              <w:t xml:space="preserve">he </w:t>
            </w:r>
            <w:r>
              <w:rPr>
                <w:rFonts w:eastAsia="Times New Roman"/>
                <w:sz w:val="20"/>
                <w:szCs w:val="20"/>
              </w:rPr>
              <w:t xml:space="preserve">fluridone </w:t>
            </w:r>
            <w:r w:rsidRPr="001E515B">
              <w:rPr>
                <w:rFonts w:eastAsia="Times New Roman"/>
                <w:sz w:val="20"/>
                <w:szCs w:val="20"/>
              </w:rPr>
              <w:t xml:space="preserve">loadings are repeated in each of the three years.  Also note that the entire lake </w:t>
            </w:r>
            <w:r>
              <w:rPr>
                <w:rFonts w:eastAsia="Times New Roman"/>
                <w:sz w:val="20"/>
                <w:szCs w:val="20"/>
              </w:rPr>
              <w:t xml:space="preserve">was modeled </w:t>
            </w:r>
            <w:r w:rsidRPr="001E515B">
              <w:rPr>
                <w:rFonts w:eastAsia="Times New Roman"/>
                <w:sz w:val="20"/>
                <w:szCs w:val="20"/>
              </w:rPr>
              <w:t xml:space="preserve">for convenience; in reality, </w:t>
            </w:r>
            <w:r w:rsidRPr="001E515B">
              <w:rPr>
                <w:rFonts w:eastAsia="Times New Roman"/>
                <w:i/>
                <w:sz w:val="20"/>
                <w:szCs w:val="20"/>
              </w:rPr>
              <w:t>Hydrilla</w:t>
            </w:r>
            <w:r w:rsidRPr="001E515B">
              <w:rPr>
                <w:rFonts w:eastAsia="Times New Roman"/>
                <w:sz w:val="20"/>
                <w:szCs w:val="20"/>
              </w:rPr>
              <w:t xml:space="preserve"> spread slowly, so only selected areas needed to be treated</w:t>
            </w:r>
            <w:r>
              <w:rPr>
                <w:rFonts w:eastAsia="Times New Roman"/>
                <w:sz w:val="20"/>
                <w:szCs w:val="20"/>
              </w:rPr>
              <w:t>.  O</w:t>
            </w:r>
            <w:r w:rsidRPr="001E515B">
              <w:rPr>
                <w:rFonts w:eastAsia="Times New Roman"/>
                <w:sz w:val="20"/>
                <w:szCs w:val="20"/>
              </w:rPr>
              <w:t>ur simulation is therefore a worst-case scenario.</w:t>
            </w:r>
          </w:p>
        </w:tc>
      </w:tr>
      <w:tr w:rsidR="00CA6D7B" w:rsidRPr="001E515B" w14:paraId="137870FB" w14:textId="77777777" w:rsidTr="00CA6D7B">
        <w:trPr>
          <w:cantSplit/>
          <w:trHeight w:val="1223"/>
        </w:trPr>
        <w:tc>
          <w:tcPr>
            <w:tcW w:w="2095" w:type="dxa"/>
            <w:tcBorders>
              <w:bottom w:val="single" w:sz="4" w:space="0" w:color="auto"/>
            </w:tcBorders>
            <w:shd w:val="clear" w:color="auto" w:fill="D2ECB6"/>
            <w:noWrap/>
            <w:tcMar>
              <w:top w:w="29" w:type="dxa"/>
              <w:left w:w="115" w:type="dxa"/>
              <w:bottom w:w="29" w:type="dxa"/>
              <w:right w:w="115" w:type="dxa"/>
            </w:tcMar>
            <w:vAlign w:val="center"/>
          </w:tcPr>
          <w:p w14:paraId="2842FF7E" w14:textId="7EDFF2DA"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East Fork Poplar Creek TN </w:t>
            </w:r>
            <w:proofErr w:type="spellStart"/>
            <w:r w:rsidRPr="001E09C4">
              <w:rPr>
                <w:rFonts w:eastAsia="Times New Roman"/>
                <w:i/>
                <w:sz w:val="20"/>
                <w:szCs w:val="20"/>
              </w:rPr>
              <w:t>PCBs</w:t>
            </w:r>
            <w:r>
              <w:rPr>
                <w:rFonts w:eastAsia="Times New Roman"/>
                <w:i/>
                <w:sz w:val="20"/>
                <w:szCs w:val="20"/>
              </w:rPr>
              <w:t>.json</w:t>
            </w:r>
            <w:proofErr w:type="spellEnd"/>
            <w:r w:rsidRPr="001E09C4">
              <w:rPr>
                <w:rFonts w:eastAsia="Times New Roman"/>
                <w:i/>
                <w:sz w:val="20"/>
                <w:szCs w:val="20"/>
              </w:rPr>
              <w:t xml:space="preserve"> </w:t>
            </w:r>
          </w:p>
          <w:p w14:paraId="2D505938" w14:textId="77777777" w:rsidR="00CA6D7B" w:rsidRPr="001E09C4" w:rsidRDefault="00CA6D7B" w:rsidP="00CB3941">
            <w:pPr>
              <w:spacing w:line="240" w:lineRule="auto"/>
              <w:rPr>
                <w:rFonts w:eastAsia="Times New Roman"/>
                <w:i/>
                <w:sz w:val="20"/>
                <w:szCs w:val="20"/>
              </w:rPr>
            </w:pPr>
            <w:r w:rsidRPr="00EF0D0F">
              <w:rPr>
                <w:rFonts w:eastAsia="Times New Roman"/>
                <w:i/>
                <w:sz w:val="20"/>
                <w:szCs w:val="20"/>
              </w:rPr>
              <w:t>(Roughly-calibrated chemical fate/effects)</w:t>
            </w:r>
          </w:p>
        </w:tc>
        <w:tc>
          <w:tcPr>
            <w:tcW w:w="1050" w:type="dxa"/>
            <w:tcBorders>
              <w:bottom w:val="single" w:sz="4" w:space="0" w:color="auto"/>
            </w:tcBorders>
            <w:shd w:val="clear" w:color="auto" w:fill="D2ECB6"/>
            <w:noWrap/>
            <w:tcMar>
              <w:top w:w="29" w:type="dxa"/>
              <w:left w:w="58" w:type="dxa"/>
              <w:bottom w:w="29" w:type="dxa"/>
              <w:right w:w="58" w:type="dxa"/>
            </w:tcMar>
            <w:vAlign w:val="center"/>
          </w:tcPr>
          <w:p w14:paraId="7E7B8804"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Stream</w:t>
            </w:r>
          </w:p>
        </w:tc>
        <w:tc>
          <w:tcPr>
            <w:tcW w:w="1080" w:type="dxa"/>
            <w:tcBorders>
              <w:bottom w:val="single" w:sz="4" w:space="0" w:color="auto"/>
            </w:tcBorders>
            <w:shd w:val="clear" w:color="auto" w:fill="D2ECB6"/>
            <w:tcMar>
              <w:top w:w="29" w:type="dxa"/>
              <w:left w:w="115" w:type="dxa"/>
              <w:bottom w:w="29" w:type="dxa"/>
              <w:right w:w="115" w:type="dxa"/>
            </w:tcMar>
            <w:vAlign w:val="center"/>
          </w:tcPr>
          <w:p w14:paraId="641DF704"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Oak Ridge TN</w:t>
            </w:r>
          </w:p>
        </w:tc>
        <w:tc>
          <w:tcPr>
            <w:tcW w:w="5280" w:type="dxa"/>
            <w:tcBorders>
              <w:bottom w:val="single" w:sz="4" w:space="0" w:color="auto"/>
            </w:tcBorders>
            <w:shd w:val="clear" w:color="auto" w:fill="D2ECB6"/>
            <w:tcMar>
              <w:top w:w="29" w:type="dxa"/>
              <w:left w:w="115" w:type="dxa"/>
              <w:bottom w:w="29" w:type="dxa"/>
              <w:right w:w="115" w:type="dxa"/>
            </w:tcMar>
            <w:vAlign w:val="center"/>
          </w:tcPr>
          <w:p w14:paraId="71E9052D"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A small stream that drains the Y-12 plant at Oak Ridge National Lab with PCB contamination.  The simulation runs for eight years to illustrate gradual recovery.</w:t>
            </w:r>
          </w:p>
        </w:tc>
      </w:tr>
      <w:tr w:rsidR="00CA6D7B" w:rsidRPr="001E515B" w14:paraId="5E716AC9" w14:textId="77777777" w:rsidTr="00CA6D7B">
        <w:trPr>
          <w:cantSplit/>
          <w:trHeight w:val="510"/>
        </w:trPr>
        <w:tc>
          <w:tcPr>
            <w:tcW w:w="2095" w:type="dxa"/>
            <w:tcBorders>
              <w:bottom w:val="single" w:sz="4" w:space="0" w:color="auto"/>
            </w:tcBorders>
            <w:shd w:val="clear" w:color="auto" w:fill="D2ECB6"/>
            <w:noWrap/>
            <w:tcMar>
              <w:top w:w="29" w:type="dxa"/>
              <w:left w:w="115" w:type="dxa"/>
              <w:bottom w:w="29" w:type="dxa"/>
              <w:right w:w="115" w:type="dxa"/>
            </w:tcMar>
            <w:vAlign w:val="center"/>
          </w:tcPr>
          <w:p w14:paraId="0E931ABD" w14:textId="448B70AE" w:rsidR="00CA6D7B" w:rsidRPr="001E09C4" w:rsidRDefault="00CA6D7B" w:rsidP="00CB3941">
            <w:pPr>
              <w:spacing w:line="240" w:lineRule="auto"/>
              <w:rPr>
                <w:rFonts w:eastAsia="Times New Roman"/>
                <w:i/>
                <w:sz w:val="20"/>
                <w:szCs w:val="20"/>
              </w:rPr>
            </w:pPr>
            <w:r w:rsidRPr="001E09C4">
              <w:rPr>
                <w:rFonts w:eastAsia="Times New Roman"/>
                <w:i/>
                <w:sz w:val="20"/>
                <w:szCs w:val="20"/>
              </w:rPr>
              <w:t xml:space="preserve">Galveston Bay </w:t>
            </w:r>
            <w:proofErr w:type="spellStart"/>
            <w:r w:rsidRPr="001E09C4">
              <w:rPr>
                <w:rFonts w:eastAsia="Times New Roman"/>
                <w:i/>
                <w:sz w:val="20"/>
                <w:szCs w:val="20"/>
              </w:rPr>
              <w:t>TX</w:t>
            </w:r>
            <w:r>
              <w:rPr>
                <w:rFonts w:eastAsia="Times New Roman"/>
                <w:i/>
                <w:sz w:val="20"/>
                <w:szCs w:val="20"/>
              </w:rPr>
              <w:t>.json</w:t>
            </w:r>
            <w:proofErr w:type="spellEnd"/>
          </w:p>
          <w:p w14:paraId="3C757810" w14:textId="77777777" w:rsidR="00CA6D7B" w:rsidRPr="001E09C4" w:rsidRDefault="00CA6D7B" w:rsidP="00CB3941">
            <w:pPr>
              <w:spacing w:line="240" w:lineRule="auto"/>
              <w:rPr>
                <w:rFonts w:eastAsia="Times New Roman"/>
                <w:i/>
                <w:sz w:val="20"/>
                <w:szCs w:val="20"/>
              </w:rPr>
            </w:pPr>
            <w:r w:rsidRPr="00EF0D0F">
              <w:rPr>
                <w:rFonts w:eastAsia="Times New Roman"/>
                <w:i/>
                <w:sz w:val="20"/>
                <w:szCs w:val="20"/>
              </w:rPr>
              <w:t>(Roughly-calibrated estuary)</w:t>
            </w:r>
          </w:p>
        </w:tc>
        <w:tc>
          <w:tcPr>
            <w:tcW w:w="1050" w:type="dxa"/>
            <w:tcBorders>
              <w:bottom w:val="single" w:sz="4" w:space="0" w:color="auto"/>
            </w:tcBorders>
            <w:shd w:val="clear" w:color="auto" w:fill="D2ECB6"/>
            <w:noWrap/>
            <w:tcMar>
              <w:top w:w="29" w:type="dxa"/>
              <w:left w:w="58" w:type="dxa"/>
              <w:bottom w:w="29" w:type="dxa"/>
              <w:right w:w="58" w:type="dxa"/>
            </w:tcMar>
            <w:vAlign w:val="center"/>
          </w:tcPr>
          <w:p w14:paraId="018BC885"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Estuar</w:t>
            </w:r>
            <w:r>
              <w:rPr>
                <w:rFonts w:eastAsia="Times New Roman"/>
                <w:sz w:val="20"/>
                <w:szCs w:val="20"/>
              </w:rPr>
              <w:t>y</w:t>
            </w:r>
          </w:p>
        </w:tc>
        <w:tc>
          <w:tcPr>
            <w:tcW w:w="1080" w:type="dxa"/>
            <w:tcBorders>
              <w:bottom w:val="single" w:sz="4" w:space="0" w:color="auto"/>
            </w:tcBorders>
            <w:shd w:val="clear" w:color="auto" w:fill="D2ECB6"/>
            <w:tcMar>
              <w:top w:w="29" w:type="dxa"/>
              <w:left w:w="115" w:type="dxa"/>
              <w:bottom w:w="29" w:type="dxa"/>
              <w:right w:w="115" w:type="dxa"/>
            </w:tcMar>
            <w:vAlign w:val="center"/>
          </w:tcPr>
          <w:p w14:paraId="6A984D76"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Near Houston TX</w:t>
            </w:r>
          </w:p>
        </w:tc>
        <w:tc>
          <w:tcPr>
            <w:tcW w:w="5280" w:type="dxa"/>
            <w:tcBorders>
              <w:bottom w:val="single" w:sz="4" w:space="0" w:color="auto"/>
            </w:tcBorders>
            <w:shd w:val="clear" w:color="auto" w:fill="D2ECB6"/>
            <w:tcMar>
              <w:top w:w="29" w:type="dxa"/>
              <w:left w:w="115" w:type="dxa"/>
              <w:bottom w:w="29" w:type="dxa"/>
              <w:right w:w="115" w:type="dxa"/>
            </w:tcMar>
            <w:vAlign w:val="center"/>
          </w:tcPr>
          <w:p w14:paraId="16D0AC5F"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A shallow, productive bay that receives runoff from Central TX, including the Houston Ship Channel</w:t>
            </w:r>
            <w:r>
              <w:rPr>
                <w:rFonts w:eastAsia="Times New Roman"/>
                <w:sz w:val="20"/>
                <w:szCs w:val="20"/>
              </w:rPr>
              <w:t>.</w:t>
            </w:r>
          </w:p>
        </w:tc>
      </w:tr>
      <w:tr w:rsidR="00CA6D7B" w:rsidRPr="001E515B" w14:paraId="5A5CB748" w14:textId="77777777" w:rsidTr="00CA6D7B">
        <w:trPr>
          <w:cantSplit/>
          <w:trHeight w:val="765"/>
        </w:trPr>
        <w:tc>
          <w:tcPr>
            <w:tcW w:w="2095" w:type="dxa"/>
            <w:tcBorders>
              <w:bottom w:val="single" w:sz="4" w:space="0" w:color="auto"/>
            </w:tcBorders>
            <w:shd w:val="clear" w:color="auto" w:fill="D2ECB6"/>
            <w:noWrap/>
            <w:tcMar>
              <w:top w:w="29" w:type="dxa"/>
              <w:left w:w="115" w:type="dxa"/>
              <w:bottom w:w="29" w:type="dxa"/>
              <w:right w:w="115" w:type="dxa"/>
            </w:tcMar>
            <w:vAlign w:val="center"/>
          </w:tcPr>
          <w:p w14:paraId="401A9CA7" w14:textId="122A11CB" w:rsidR="00CA6D7B" w:rsidRPr="001E09C4" w:rsidRDefault="00CA6D7B" w:rsidP="00CB3941">
            <w:pPr>
              <w:keepNext/>
              <w:keepLines/>
              <w:spacing w:line="240" w:lineRule="auto"/>
              <w:rPr>
                <w:rFonts w:eastAsia="Times New Roman"/>
                <w:i/>
                <w:sz w:val="20"/>
                <w:szCs w:val="20"/>
              </w:rPr>
            </w:pPr>
            <w:r w:rsidRPr="001E09C4">
              <w:rPr>
                <w:rFonts w:eastAsia="Times New Roman"/>
                <w:i/>
                <w:sz w:val="20"/>
                <w:szCs w:val="20"/>
              </w:rPr>
              <w:t xml:space="preserve">Zollner Creek OR w </w:t>
            </w:r>
            <w:proofErr w:type="spellStart"/>
            <w:r w:rsidRPr="001E09C4">
              <w:rPr>
                <w:rFonts w:eastAsia="Times New Roman"/>
                <w:i/>
                <w:sz w:val="20"/>
                <w:szCs w:val="20"/>
              </w:rPr>
              <w:t>chlorpyr</w:t>
            </w:r>
            <w:proofErr w:type="spellEnd"/>
            <w:r w:rsidRPr="001E09C4">
              <w:rPr>
                <w:rFonts w:eastAsia="Times New Roman"/>
                <w:i/>
                <w:sz w:val="20"/>
                <w:szCs w:val="20"/>
              </w:rPr>
              <w:t xml:space="preserve"> dieldrin-</w:t>
            </w:r>
            <w:proofErr w:type="spellStart"/>
            <w:r w:rsidRPr="001E09C4">
              <w:rPr>
                <w:rFonts w:eastAsia="Times New Roman"/>
                <w:i/>
                <w:sz w:val="20"/>
                <w:szCs w:val="20"/>
              </w:rPr>
              <w:t>pulse</w:t>
            </w:r>
            <w:r>
              <w:rPr>
                <w:rFonts w:eastAsia="Times New Roman"/>
                <w:i/>
                <w:sz w:val="20"/>
                <w:szCs w:val="20"/>
              </w:rPr>
              <w:t>.json</w:t>
            </w:r>
            <w:proofErr w:type="spellEnd"/>
          </w:p>
          <w:p w14:paraId="57F88144" w14:textId="77777777" w:rsidR="00CA6D7B" w:rsidRPr="001E09C4" w:rsidRDefault="00CA6D7B" w:rsidP="00CB3941">
            <w:pPr>
              <w:keepNext/>
              <w:keepLines/>
              <w:spacing w:line="240" w:lineRule="auto"/>
              <w:rPr>
                <w:rFonts w:eastAsia="Times New Roman"/>
                <w:i/>
                <w:sz w:val="20"/>
                <w:szCs w:val="20"/>
              </w:rPr>
            </w:pPr>
            <w:r w:rsidRPr="00EF0D0F">
              <w:rPr>
                <w:rFonts w:eastAsia="Times New Roman"/>
                <w:i/>
                <w:sz w:val="20"/>
                <w:szCs w:val="20"/>
              </w:rPr>
              <w:t>(roughly-calibrated chemical fate/effects)</w:t>
            </w:r>
          </w:p>
        </w:tc>
        <w:tc>
          <w:tcPr>
            <w:tcW w:w="1050" w:type="dxa"/>
            <w:tcBorders>
              <w:bottom w:val="single" w:sz="4" w:space="0" w:color="auto"/>
            </w:tcBorders>
            <w:shd w:val="clear" w:color="auto" w:fill="D2ECB6"/>
            <w:noWrap/>
            <w:tcMar>
              <w:top w:w="29" w:type="dxa"/>
              <w:left w:w="58" w:type="dxa"/>
              <w:bottom w:w="29" w:type="dxa"/>
              <w:right w:w="58" w:type="dxa"/>
            </w:tcMar>
            <w:vAlign w:val="center"/>
          </w:tcPr>
          <w:p w14:paraId="7383FC4B" w14:textId="77777777" w:rsidR="00CA6D7B" w:rsidRPr="001E515B" w:rsidRDefault="00CA6D7B" w:rsidP="00CB3941">
            <w:pPr>
              <w:keepNext/>
              <w:keepLines/>
              <w:spacing w:line="240" w:lineRule="auto"/>
              <w:rPr>
                <w:rFonts w:eastAsia="Times New Roman"/>
                <w:sz w:val="20"/>
                <w:szCs w:val="20"/>
              </w:rPr>
            </w:pPr>
            <w:r w:rsidRPr="001E515B">
              <w:rPr>
                <w:rFonts w:eastAsia="Times New Roman"/>
                <w:sz w:val="20"/>
                <w:szCs w:val="20"/>
              </w:rPr>
              <w:t>Stream</w:t>
            </w:r>
          </w:p>
        </w:tc>
        <w:tc>
          <w:tcPr>
            <w:tcW w:w="1080" w:type="dxa"/>
            <w:tcBorders>
              <w:bottom w:val="single" w:sz="4" w:space="0" w:color="auto"/>
            </w:tcBorders>
            <w:shd w:val="clear" w:color="auto" w:fill="D2ECB6"/>
            <w:tcMar>
              <w:top w:w="29" w:type="dxa"/>
              <w:left w:w="115" w:type="dxa"/>
              <w:bottom w:w="29" w:type="dxa"/>
              <w:right w:w="115" w:type="dxa"/>
            </w:tcMar>
            <w:vAlign w:val="center"/>
          </w:tcPr>
          <w:p w14:paraId="2972CD59" w14:textId="77777777" w:rsidR="00CA6D7B" w:rsidRPr="001E515B" w:rsidRDefault="00CA6D7B" w:rsidP="00CB3941">
            <w:pPr>
              <w:keepNext/>
              <w:keepLines/>
              <w:spacing w:line="240" w:lineRule="auto"/>
              <w:rPr>
                <w:rFonts w:eastAsia="Times New Roman"/>
                <w:sz w:val="20"/>
                <w:szCs w:val="20"/>
              </w:rPr>
            </w:pPr>
            <w:r w:rsidRPr="004719EF">
              <w:rPr>
                <w:rFonts w:eastAsia="Times New Roman"/>
                <w:sz w:val="18"/>
                <w:szCs w:val="20"/>
              </w:rPr>
              <w:t>Willamette</w:t>
            </w:r>
            <w:r w:rsidRPr="001E515B">
              <w:rPr>
                <w:rFonts w:eastAsia="Times New Roman"/>
                <w:sz w:val="20"/>
                <w:szCs w:val="20"/>
              </w:rPr>
              <w:t xml:space="preserve"> Valley OR</w:t>
            </w:r>
          </w:p>
        </w:tc>
        <w:tc>
          <w:tcPr>
            <w:tcW w:w="5280" w:type="dxa"/>
            <w:tcBorders>
              <w:bottom w:val="single" w:sz="4" w:space="0" w:color="auto"/>
            </w:tcBorders>
            <w:shd w:val="clear" w:color="auto" w:fill="D2ECB6"/>
            <w:tcMar>
              <w:top w:w="29" w:type="dxa"/>
              <w:left w:w="115" w:type="dxa"/>
              <w:bottom w:w="29" w:type="dxa"/>
              <w:right w:w="115" w:type="dxa"/>
            </w:tcMar>
            <w:vAlign w:val="center"/>
          </w:tcPr>
          <w:p w14:paraId="11CC015B" w14:textId="77777777" w:rsidR="00CA6D7B" w:rsidRPr="001E515B" w:rsidRDefault="00CA6D7B" w:rsidP="00CB3941">
            <w:pPr>
              <w:keepNext/>
              <w:keepLines/>
              <w:spacing w:line="240" w:lineRule="auto"/>
              <w:rPr>
                <w:rFonts w:eastAsia="Times New Roman"/>
                <w:sz w:val="20"/>
                <w:szCs w:val="20"/>
              </w:rPr>
            </w:pPr>
            <w:r w:rsidRPr="001E515B">
              <w:rPr>
                <w:rFonts w:eastAsia="Times New Roman"/>
                <w:bCs/>
                <w:sz w:val="20"/>
                <w:szCs w:val="20"/>
              </w:rPr>
              <w:t>The watershed is &gt;90% agricultural, with row crops, orchards and vineyards, grain and grass fields, and large poultry farms. It is a USGS National Water Quality Assessment Program (NAWQA) site, and also a principal TMDL site. State criteria for chlorpyrifos and legacy dieldrin were exceeded (Williams and Bloom 2008).</w:t>
            </w:r>
          </w:p>
        </w:tc>
      </w:tr>
      <w:tr w:rsidR="00CA6D7B" w:rsidRPr="001E515B" w14:paraId="716DB779" w14:textId="77777777" w:rsidTr="00CA6D7B">
        <w:trPr>
          <w:cantSplit/>
          <w:trHeight w:val="510"/>
        </w:trPr>
        <w:tc>
          <w:tcPr>
            <w:tcW w:w="2095" w:type="dxa"/>
            <w:shd w:val="clear" w:color="auto" w:fill="B8CCE4"/>
            <w:noWrap/>
            <w:tcMar>
              <w:top w:w="29" w:type="dxa"/>
              <w:left w:w="115" w:type="dxa"/>
              <w:bottom w:w="29" w:type="dxa"/>
              <w:right w:w="115" w:type="dxa"/>
            </w:tcMar>
            <w:vAlign w:val="center"/>
          </w:tcPr>
          <w:p w14:paraId="3D99277A" w14:textId="115FC2F7" w:rsidR="00CA6D7B" w:rsidRPr="001E09C4" w:rsidRDefault="00CA6D7B" w:rsidP="00CB3941">
            <w:pPr>
              <w:spacing w:line="240" w:lineRule="auto"/>
              <w:rPr>
                <w:rFonts w:eastAsia="Times New Roman"/>
                <w:i/>
                <w:sz w:val="20"/>
                <w:szCs w:val="20"/>
              </w:rPr>
            </w:pPr>
            <w:proofErr w:type="spellStart"/>
            <w:r w:rsidRPr="001E09C4">
              <w:rPr>
                <w:rFonts w:eastAsia="Times New Roman"/>
                <w:i/>
                <w:sz w:val="20"/>
                <w:szCs w:val="20"/>
              </w:rPr>
              <w:t>Nockamixon</w:t>
            </w:r>
            <w:proofErr w:type="spellEnd"/>
            <w:r w:rsidRPr="001E09C4">
              <w:rPr>
                <w:rFonts w:eastAsia="Times New Roman"/>
                <w:i/>
                <w:sz w:val="20"/>
                <w:szCs w:val="20"/>
              </w:rPr>
              <w:t xml:space="preserve"> Res </w:t>
            </w:r>
            <w:proofErr w:type="spellStart"/>
            <w:r w:rsidRPr="001E09C4">
              <w:rPr>
                <w:rFonts w:eastAsia="Times New Roman"/>
                <w:i/>
                <w:sz w:val="20"/>
                <w:szCs w:val="20"/>
              </w:rPr>
              <w:t>PA</w:t>
            </w:r>
            <w:r>
              <w:rPr>
                <w:rFonts w:eastAsia="Times New Roman"/>
                <w:i/>
                <w:sz w:val="20"/>
                <w:szCs w:val="20"/>
              </w:rPr>
              <w:t>.json</w:t>
            </w:r>
            <w:proofErr w:type="spellEnd"/>
          </w:p>
          <w:p w14:paraId="378C4657" w14:textId="77777777" w:rsidR="00CA6D7B" w:rsidRPr="001E09C4" w:rsidRDefault="00CA6D7B" w:rsidP="00CB3941">
            <w:pPr>
              <w:spacing w:line="240" w:lineRule="auto"/>
              <w:rPr>
                <w:rFonts w:eastAsia="Times New Roman"/>
                <w:i/>
                <w:sz w:val="20"/>
                <w:szCs w:val="20"/>
              </w:rPr>
            </w:pPr>
            <w:r w:rsidRPr="00EF0D0F">
              <w:rPr>
                <w:rFonts w:eastAsia="Times New Roman"/>
                <w:i/>
                <w:sz w:val="20"/>
                <w:szCs w:val="20"/>
              </w:rPr>
              <w:t>(Study intended for teaching purposes)</w:t>
            </w:r>
          </w:p>
        </w:tc>
        <w:tc>
          <w:tcPr>
            <w:tcW w:w="1050" w:type="dxa"/>
            <w:shd w:val="clear" w:color="auto" w:fill="B8CCE4"/>
            <w:noWrap/>
            <w:tcMar>
              <w:top w:w="29" w:type="dxa"/>
              <w:left w:w="58" w:type="dxa"/>
              <w:bottom w:w="29" w:type="dxa"/>
              <w:right w:w="58" w:type="dxa"/>
            </w:tcMar>
            <w:vAlign w:val="center"/>
          </w:tcPr>
          <w:p w14:paraId="1B735B56" w14:textId="719DDD70" w:rsidR="00CA6D7B" w:rsidRPr="001E515B" w:rsidRDefault="00CA6D7B" w:rsidP="00CB3941">
            <w:pPr>
              <w:spacing w:line="240" w:lineRule="auto"/>
              <w:rPr>
                <w:rFonts w:eastAsia="Times New Roman"/>
                <w:sz w:val="20"/>
                <w:szCs w:val="20"/>
              </w:rPr>
            </w:pPr>
            <w:r w:rsidRPr="001E515B">
              <w:rPr>
                <w:rFonts w:eastAsia="Times New Roman"/>
                <w:sz w:val="20"/>
                <w:szCs w:val="20"/>
              </w:rPr>
              <w:t>Reservoir</w:t>
            </w:r>
          </w:p>
        </w:tc>
        <w:tc>
          <w:tcPr>
            <w:tcW w:w="1080" w:type="dxa"/>
            <w:shd w:val="clear" w:color="auto" w:fill="B8CCE4"/>
            <w:tcMar>
              <w:top w:w="29" w:type="dxa"/>
              <w:left w:w="115" w:type="dxa"/>
              <w:bottom w:w="29" w:type="dxa"/>
              <w:right w:w="115" w:type="dxa"/>
            </w:tcMar>
            <w:vAlign w:val="center"/>
          </w:tcPr>
          <w:p w14:paraId="3383C304" w14:textId="77777777" w:rsidR="00CA6D7B" w:rsidRPr="001E515B" w:rsidRDefault="00CA6D7B" w:rsidP="00CB3941">
            <w:pPr>
              <w:spacing w:line="240" w:lineRule="auto"/>
              <w:rPr>
                <w:rFonts w:eastAsia="Times New Roman"/>
                <w:sz w:val="20"/>
                <w:szCs w:val="20"/>
              </w:rPr>
            </w:pPr>
            <w:r w:rsidRPr="001E515B">
              <w:rPr>
                <w:rFonts w:eastAsia="Times New Roman"/>
                <w:sz w:val="20"/>
                <w:szCs w:val="20"/>
              </w:rPr>
              <w:t>eastern PA</w:t>
            </w:r>
          </w:p>
        </w:tc>
        <w:tc>
          <w:tcPr>
            <w:tcW w:w="5280" w:type="dxa"/>
            <w:shd w:val="clear" w:color="auto" w:fill="B8CCE4"/>
            <w:tcMar>
              <w:top w:w="29" w:type="dxa"/>
              <w:left w:w="115" w:type="dxa"/>
              <w:bottom w:w="29" w:type="dxa"/>
              <w:right w:w="115" w:type="dxa"/>
            </w:tcMar>
            <w:vAlign w:val="center"/>
          </w:tcPr>
          <w:p w14:paraId="235E3D98" w14:textId="77777777" w:rsidR="00CA6D7B" w:rsidRPr="001E515B" w:rsidRDefault="00CA6D7B" w:rsidP="00CB3941">
            <w:pPr>
              <w:spacing w:line="240" w:lineRule="auto"/>
              <w:rPr>
                <w:rFonts w:eastAsia="Times New Roman"/>
                <w:sz w:val="20"/>
                <w:szCs w:val="20"/>
              </w:rPr>
            </w:pPr>
            <w:r>
              <w:rPr>
                <w:rFonts w:eastAsia="Times New Roman"/>
                <w:sz w:val="20"/>
                <w:szCs w:val="20"/>
              </w:rPr>
              <w:t>H</w:t>
            </w:r>
            <w:r w:rsidRPr="001E515B">
              <w:rPr>
                <w:rFonts w:eastAsia="Times New Roman"/>
                <w:sz w:val="20"/>
                <w:szCs w:val="20"/>
              </w:rPr>
              <w:t xml:space="preserve">eavily impacted </w:t>
            </w:r>
            <w:r>
              <w:rPr>
                <w:rFonts w:eastAsia="Times New Roman"/>
                <w:sz w:val="20"/>
                <w:szCs w:val="20"/>
              </w:rPr>
              <w:t xml:space="preserve">reservoir downstream of </w:t>
            </w:r>
            <w:r w:rsidRPr="001E515B">
              <w:rPr>
                <w:rFonts w:eastAsia="Times New Roman"/>
                <w:sz w:val="20"/>
                <w:szCs w:val="20"/>
              </w:rPr>
              <w:t xml:space="preserve">the Quakertown wastewater treatment plant </w:t>
            </w:r>
            <w:r>
              <w:rPr>
                <w:rFonts w:eastAsia="Times New Roman"/>
                <w:sz w:val="20"/>
                <w:szCs w:val="20"/>
              </w:rPr>
              <w:t>outlet.</w:t>
            </w:r>
          </w:p>
        </w:tc>
      </w:tr>
    </w:tbl>
    <w:p w14:paraId="032B5C68" w14:textId="77777777" w:rsidR="00CA6D7B" w:rsidRDefault="00CA6D7B" w:rsidP="00082D94">
      <w:pPr>
        <w:pStyle w:val="Heading2"/>
        <w:spacing w:after="0"/>
      </w:pPr>
      <w:bookmarkStart w:id="3" w:name="_Toc381792034"/>
      <w:bookmarkEnd w:id="2"/>
    </w:p>
    <w:p w14:paraId="4AC01B6F" w14:textId="77777777" w:rsidR="00CA6D7B" w:rsidRDefault="00CA6D7B">
      <w:pPr>
        <w:rPr>
          <w:rFonts w:asciiTheme="majorHAnsi" w:eastAsiaTheme="majorEastAsia" w:hAnsiTheme="majorHAnsi" w:cstheme="majorBidi"/>
          <w:b/>
          <w:bCs/>
          <w:color w:val="4F81BD" w:themeColor="accent1"/>
          <w:sz w:val="26"/>
          <w:szCs w:val="26"/>
        </w:rPr>
      </w:pPr>
      <w:r>
        <w:br w:type="page"/>
      </w:r>
    </w:p>
    <w:p w14:paraId="19249332" w14:textId="3184B27C" w:rsidR="0068596E" w:rsidRDefault="0068596E" w:rsidP="00082D94">
      <w:pPr>
        <w:pStyle w:val="Heading2"/>
        <w:spacing w:after="0"/>
      </w:pPr>
      <w:r>
        <w:lastRenderedPageBreak/>
        <w:t>References</w:t>
      </w:r>
      <w:bookmarkEnd w:id="0"/>
      <w:bookmarkEnd w:id="3"/>
    </w:p>
    <w:p w14:paraId="2B2FB0EB" w14:textId="77777777" w:rsidR="00C249D9" w:rsidRPr="00082D94" w:rsidRDefault="009A70F7" w:rsidP="001E09C4">
      <w:pPr>
        <w:pStyle w:val="EndNoteBibliography"/>
        <w:spacing w:after="120"/>
        <w:ind w:left="720" w:hanging="720"/>
        <w:rPr>
          <w:sz w:val="2"/>
          <w:szCs w:val="20"/>
        </w:rPr>
      </w:pPr>
      <w:r w:rsidRPr="001B7EF5">
        <w:rPr>
          <w:sz w:val="20"/>
          <w:szCs w:val="20"/>
        </w:rPr>
        <w:fldChar w:fldCharType="begin"/>
      </w:r>
      <w:r w:rsidR="0068596E" w:rsidRPr="001B7EF5">
        <w:rPr>
          <w:sz w:val="20"/>
          <w:szCs w:val="20"/>
        </w:rPr>
        <w:instrText xml:space="preserve"> ADDIN EN.REFLIST </w:instrText>
      </w:r>
      <w:r w:rsidRPr="001B7EF5">
        <w:rPr>
          <w:sz w:val="20"/>
          <w:szCs w:val="20"/>
        </w:rPr>
        <w:fldChar w:fldCharType="separate"/>
      </w:r>
    </w:p>
    <w:p w14:paraId="5FA2F359" w14:textId="77777777" w:rsidR="00082D94" w:rsidRDefault="00082D94" w:rsidP="001E09C4">
      <w:pPr>
        <w:pStyle w:val="EndNoteBibliography"/>
        <w:spacing w:after="120"/>
        <w:ind w:left="720" w:hanging="720"/>
        <w:rPr>
          <w:sz w:val="22"/>
          <w:szCs w:val="22"/>
        </w:rPr>
      </w:pPr>
      <w:bookmarkStart w:id="4" w:name="_ENREF_2"/>
      <w:r w:rsidRPr="00082D94">
        <w:rPr>
          <w:sz w:val="22"/>
          <w:szCs w:val="22"/>
        </w:rPr>
        <w:t>Blancher, E. C., Park, R. A., Clough, J. S., Milroy, S. P., Graham, W. M., Rakocinski, C. F., Hendon, J. R., Wiggert, J. D., and Leaf, R. (2017). “Establishing nearshore marine secondary productivity baseline estimates for multiple habitats in coastal Mississippi and Alabama using AQUATOX 3.1 NME for use in the Deepwater Horizon natural resource damage assessment.” Ecological Modelling, 359, 49–68.</w:t>
      </w:r>
    </w:p>
    <w:p w14:paraId="095E7E38" w14:textId="77777777" w:rsidR="00C249D9" w:rsidRPr="001B7EF5" w:rsidRDefault="00C249D9" w:rsidP="001E09C4">
      <w:pPr>
        <w:pStyle w:val="EndNoteBibliography"/>
        <w:spacing w:after="120"/>
        <w:ind w:left="720" w:hanging="720"/>
        <w:rPr>
          <w:sz w:val="22"/>
          <w:szCs w:val="22"/>
        </w:rPr>
      </w:pPr>
      <w:r w:rsidRPr="001B7EF5">
        <w:rPr>
          <w:sz w:val="22"/>
          <w:szCs w:val="22"/>
        </w:rPr>
        <w:t xml:space="preserve">Burkhard, L. P. 1998. Comparison of Two Models for Predicting Bioaccumulation of Hydrophobic Organic Chemicals in a Great Lakes Food Web. Environmental Toxicology and Chemistry </w:t>
      </w:r>
      <w:r w:rsidRPr="001B7EF5">
        <w:rPr>
          <w:b/>
          <w:sz w:val="22"/>
          <w:szCs w:val="22"/>
        </w:rPr>
        <w:t>17</w:t>
      </w:r>
      <w:r w:rsidRPr="001B7EF5">
        <w:rPr>
          <w:sz w:val="22"/>
          <w:szCs w:val="22"/>
        </w:rPr>
        <w:t>:383-393.</w:t>
      </w:r>
      <w:bookmarkEnd w:id="4"/>
    </w:p>
    <w:p w14:paraId="091CD881" w14:textId="77777777" w:rsidR="00C249D9" w:rsidRPr="001B7EF5" w:rsidRDefault="00C249D9" w:rsidP="001E09C4">
      <w:pPr>
        <w:pStyle w:val="EndNoteBibliography"/>
        <w:spacing w:after="120"/>
        <w:ind w:left="720" w:hanging="720"/>
        <w:rPr>
          <w:sz w:val="22"/>
          <w:szCs w:val="22"/>
        </w:rPr>
      </w:pPr>
      <w:bookmarkStart w:id="5" w:name="_ENREF_3"/>
      <w:r w:rsidRPr="001B7EF5">
        <w:rPr>
          <w:sz w:val="22"/>
          <w:szCs w:val="22"/>
        </w:rPr>
        <w:t>Effler, S. W., editor. 1996. Limnological and Engineering Analysis of a Polluted Urban Lake. Springer, New York.</w:t>
      </w:r>
      <w:bookmarkEnd w:id="5"/>
    </w:p>
    <w:p w14:paraId="32AA7C25" w14:textId="77777777" w:rsidR="00C249D9" w:rsidRPr="001B7EF5" w:rsidRDefault="00C249D9" w:rsidP="001E09C4">
      <w:pPr>
        <w:pStyle w:val="EndNoteBibliography"/>
        <w:spacing w:after="120"/>
        <w:ind w:left="720" w:hanging="720"/>
        <w:rPr>
          <w:sz w:val="22"/>
          <w:szCs w:val="22"/>
        </w:rPr>
      </w:pPr>
      <w:bookmarkStart w:id="6" w:name="_ENREF_4"/>
      <w:r w:rsidRPr="001B7EF5">
        <w:rPr>
          <w:sz w:val="22"/>
          <w:szCs w:val="22"/>
        </w:rPr>
        <w:t>Funder, S. G. 2009. Risk Assessment of the Skensved Å Field Site: Review and Application of Surface Water Models, Bachelor's Thesis Technical University of Denmark Lyngby Denmark.</w:t>
      </w:r>
      <w:bookmarkEnd w:id="6"/>
    </w:p>
    <w:p w14:paraId="51696285" w14:textId="77777777" w:rsidR="00C249D9" w:rsidRPr="001B7EF5" w:rsidRDefault="00C249D9" w:rsidP="001E09C4">
      <w:pPr>
        <w:pStyle w:val="EndNoteBibliography"/>
        <w:spacing w:after="120"/>
        <w:ind w:left="720" w:hanging="720"/>
        <w:rPr>
          <w:sz w:val="22"/>
          <w:szCs w:val="22"/>
        </w:rPr>
      </w:pPr>
      <w:bookmarkStart w:id="7" w:name="_ENREF_5"/>
      <w:r w:rsidRPr="001B7EF5">
        <w:rPr>
          <w:sz w:val="22"/>
          <w:szCs w:val="22"/>
        </w:rPr>
        <w:t>Gobas, F. A. P. C., E. J. McNeil, L. Lovett-Doust, and G. D. Haffner. 1991. Bioconcentration of Chlorinated Aromatic Hydrocarbons in Aquatic Macrophytes (</w:t>
      </w:r>
      <w:r w:rsidRPr="001B7EF5">
        <w:rPr>
          <w:i/>
          <w:sz w:val="22"/>
          <w:szCs w:val="22"/>
        </w:rPr>
        <w:t>Myriophyllum spicatum</w:t>
      </w:r>
      <w:r w:rsidRPr="001B7EF5">
        <w:rPr>
          <w:sz w:val="22"/>
          <w:szCs w:val="22"/>
        </w:rPr>
        <w:t xml:space="preserve">). Environmental Science &amp; Technology </w:t>
      </w:r>
      <w:r w:rsidRPr="001B7EF5">
        <w:rPr>
          <w:b/>
          <w:sz w:val="22"/>
          <w:szCs w:val="22"/>
        </w:rPr>
        <w:t>25</w:t>
      </w:r>
      <w:r w:rsidRPr="001B7EF5">
        <w:rPr>
          <w:sz w:val="22"/>
          <w:szCs w:val="22"/>
        </w:rPr>
        <w:t>:924-929.</w:t>
      </w:r>
      <w:bookmarkEnd w:id="7"/>
    </w:p>
    <w:p w14:paraId="52F5624E" w14:textId="77777777" w:rsidR="00A540BA" w:rsidRPr="001B7EF5" w:rsidRDefault="00A540BA" w:rsidP="001E09C4">
      <w:pPr>
        <w:pStyle w:val="EndNoteBibliography"/>
        <w:spacing w:after="120"/>
        <w:ind w:left="720" w:hanging="720"/>
        <w:rPr>
          <w:sz w:val="22"/>
          <w:szCs w:val="22"/>
        </w:rPr>
      </w:pPr>
      <w:r w:rsidRPr="001B7EF5">
        <w:rPr>
          <w:sz w:val="22"/>
          <w:szCs w:val="22"/>
        </w:rPr>
        <w:t>Larsen, K.M.  2006.  Utilization of marsh edge and nonvegetated bottom habitats in western Mississippi sound by brown shrimp, Farfantepenaeus aztecus, with notes on associated nektonic assemblages.  The University of Southern Mississippi.  Master Degree Thesis.  63 pp.</w:t>
      </w:r>
      <w:r w:rsidRPr="001B7EF5">
        <w:rPr>
          <w:sz w:val="22"/>
          <w:szCs w:val="22"/>
        </w:rPr>
        <w:tab/>
      </w:r>
      <w:r w:rsidRPr="001B7EF5">
        <w:rPr>
          <w:sz w:val="22"/>
          <w:szCs w:val="22"/>
        </w:rPr>
        <w:tab/>
      </w:r>
      <w:r w:rsidRPr="001B7EF5">
        <w:rPr>
          <w:sz w:val="22"/>
          <w:szCs w:val="22"/>
        </w:rPr>
        <w:tab/>
      </w:r>
      <w:r w:rsidRPr="001B7EF5">
        <w:rPr>
          <w:sz w:val="22"/>
          <w:szCs w:val="22"/>
        </w:rPr>
        <w:tab/>
      </w:r>
      <w:r w:rsidRPr="001B7EF5">
        <w:rPr>
          <w:sz w:val="22"/>
          <w:szCs w:val="22"/>
        </w:rPr>
        <w:tab/>
      </w:r>
      <w:r w:rsidRPr="001B7EF5">
        <w:rPr>
          <w:sz w:val="22"/>
          <w:szCs w:val="22"/>
        </w:rPr>
        <w:tab/>
      </w:r>
    </w:p>
    <w:p w14:paraId="2AC929F2" w14:textId="77777777" w:rsidR="00C249D9" w:rsidRPr="001B7EF5" w:rsidRDefault="00C249D9" w:rsidP="001E09C4">
      <w:pPr>
        <w:pStyle w:val="EndNoteBibliography"/>
        <w:spacing w:after="120"/>
        <w:ind w:left="720" w:hanging="720"/>
        <w:rPr>
          <w:sz w:val="22"/>
          <w:szCs w:val="22"/>
        </w:rPr>
      </w:pPr>
      <w:bookmarkStart w:id="8" w:name="_ENREF_7"/>
      <w:r w:rsidRPr="001B7EF5">
        <w:rPr>
          <w:sz w:val="22"/>
          <w:szCs w:val="22"/>
        </w:rPr>
        <w:t xml:space="preserve">McKnight, U. S., S. G. Funder, J. J. Rasmussen, M. Finkel, P. J. Binning, and P. L. Bjerg. 2010a. An integrated model for assessing the risk of TCE groundwater contamination to human receptors and surface water ecosystems. Ecological Engineering </w:t>
      </w:r>
      <w:r w:rsidRPr="001B7EF5">
        <w:rPr>
          <w:b/>
          <w:sz w:val="22"/>
          <w:szCs w:val="22"/>
        </w:rPr>
        <w:t>36</w:t>
      </w:r>
      <w:r w:rsidRPr="001B7EF5">
        <w:rPr>
          <w:sz w:val="22"/>
          <w:szCs w:val="22"/>
        </w:rPr>
        <w:t>:1126-1137.</w:t>
      </w:r>
      <w:bookmarkEnd w:id="8"/>
    </w:p>
    <w:p w14:paraId="025AFA11" w14:textId="77777777" w:rsidR="00C249D9" w:rsidRPr="001B7EF5" w:rsidRDefault="00C249D9" w:rsidP="001E09C4">
      <w:pPr>
        <w:pStyle w:val="EndNoteBibliography"/>
        <w:spacing w:after="120"/>
        <w:ind w:left="720" w:hanging="720"/>
        <w:rPr>
          <w:sz w:val="22"/>
          <w:szCs w:val="22"/>
        </w:rPr>
      </w:pPr>
      <w:bookmarkStart w:id="9" w:name="_ENREF_8"/>
      <w:r w:rsidRPr="001B7EF5">
        <w:rPr>
          <w:sz w:val="22"/>
          <w:szCs w:val="22"/>
        </w:rPr>
        <w:t xml:space="preserve">McKnight, U. S., J. J. Rasmussen, S. G. Funder, M. Finkel, P. L. Bjerg, and P. J. Binning. 2010b. Integrated modelling for assessing the risk of groundwater contaminants to human health and surface water ecosystems  </w:t>
      </w:r>
      <w:r w:rsidRPr="001B7EF5">
        <w:rPr>
          <w:i/>
          <w:sz w:val="22"/>
          <w:szCs w:val="22"/>
        </w:rPr>
        <w:t>in</w:t>
      </w:r>
      <w:r w:rsidRPr="001B7EF5">
        <w:rPr>
          <w:sz w:val="22"/>
          <w:szCs w:val="22"/>
        </w:rPr>
        <w:t xml:space="preserve"> 7th International Groundwater Quality Conference, Zurich, Switzerland.</w:t>
      </w:r>
      <w:bookmarkEnd w:id="9"/>
    </w:p>
    <w:p w14:paraId="773806C9" w14:textId="77777777" w:rsidR="00C249D9" w:rsidRPr="001B7EF5" w:rsidRDefault="00C249D9" w:rsidP="001E09C4">
      <w:pPr>
        <w:pStyle w:val="EndNoteBibliography"/>
        <w:spacing w:after="120"/>
        <w:ind w:left="720" w:hanging="720"/>
        <w:rPr>
          <w:sz w:val="22"/>
          <w:szCs w:val="22"/>
        </w:rPr>
      </w:pPr>
      <w:bookmarkStart w:id="10" w:name="_ENREF_9"/>
      <w:r w:rsidRPr="001B7EF5">
        <w:rPr>
          <w:sz w:val="22"/>
          <w:szCs w:val="22"/>
        </w:rPr>
        <w:t xml:space="preserve">Oliver, B. G., and A. J. Niimi. 1988. Trophodynamic Analysis of Polychlorinated Biphenyl Congeners and Other Chlorinated Hydrocarbons in the Lake Ontario Ecosystem. Environ. Sci. Technol. </w:t>
      </w:r>
      <w:r w:rsidRPr="001B7EF5">
        <w:rPr>
          <w:b/>
          <w:sz w:val="22"/>
          <w:szCs w:val="22"/>
        </w:rPr>
        <w:t>22</w:t>
      </w:r>
      <w:r w:rsidRPr="001B7EF5">
        <w:rPr>
          <w:sz w:val="22"/>
          <w:szCs w:val="22"/>
        </w:rPr>
        <w:t>:388-397.</w:t>
      </w:r>
      <w:bookmarkEnd w:id="10"/>
    </w:p>
    <w:p w14:paraId="3B693818" w14:textId="77777777" w:rsidR="00C249D9" w:rsidRPr="001B7EF5" w:rsidRDefault="00C249D9" w:rsidP="001E09C4">
      <w:pPr>
        <w:pStyle w:val="EndNoteBibliography"/>
        <w:spacing w:after="120"/>
        <w:ind w:left="720" w:hanging="720"/>
        <w:rPr>
          <w:sz w:val="22"/>
          <w:szCs w:val="22"/>
        </w:rPr>
      </w:pPr>
      <w:bookmarkStart w:id="11" w:name="_ENREF_10"/>
      <w:r w:rsidRPr="001B7EF5">
        <w:rPr>
          <w:sz w:val="22"/>
          <w:szCs w:val="22"/>
        </w:rPr>
        <w:t>Park, R. A., J. N. Carleton, J. S. Clough, and M. C. Wellman. 2009. AQUATOX Technical Note 1: A Calibrated Parameter Set for Simulation of Algae in Shallow Rivers. EPA-823-R-09-003, U.S. Environmental Protection Agency, Washington D.C.</w:t>
      </w:r>
      <w:bookmarkEnd w:id="11"/>
    </w:p>
    <w:p w14:paraId="4E99D0DA" w14:textId="77777777" w:rsidR="00C249D9" w:rsidRPr="001B7EF5" w:rsidRDefault="00C249D9" w:rsidP="001E09C4">
      <w:pPr>
        <w:pStyle w:val="EndNoteBibliography"/>
        <w:spacing w:after="120"/>
        <w:ind w:left="720" w:hanging="720"/>
        <w:rPr>
          <w:sz w:val="22"/>
          <w:szCs w:val="22"/>
        </w:rPr>
      </w:pPr>
      <w:bookmarkStart w:id="12" w:name="_ENREF_11"/>
      <w:r w:rsidRPr="001B7EF5">
        <w:rPr>
          <w:sz w:val="22"/>
          <w:szCs w:val="22"/>
        </w:rPr>
        <w:t xml:space="preserve">Park, R. A., J. S. Clough, M. C. Wellman, and A. S. Donigian. 2005. Nutrient Criteria Development with a Linked Modeling System: Calibration of AQUATOX Across a Nutrient Gradient. Pages 885-902 </w:t>
      </w:r>
      <w:r w:rsidRPr="001B7EF5">
        <w:rPr>
          <w:i/>
          <w:sz w:val="22"/>
          <w:szCs w:val="22"/>
        </w:rPr>
        <w:t>in</w:t>
      </w:r>
      <w:r w:rsidRPr="001B7EF5">
        <w:rPr>
          <w:sz w:val="22"/>
          <w:szCs w:val="22"/>
        </w:rPr>
        <w:t xml:space="preserve"> TMDL 2005. Water Environment Federation, Philadelphia, Penn.</w:t>
      </w:r>
      <w:bookmarkEnd w:id="12"/>
    </w:p>
    <w:p w14:paraId="7DEE16C1" w14:textId="77777777" w:rsidR="00C249D9" w:rsidRPr="001B7EF5" w:rsidRDefault="00C249D9" w:rsidP="001E09C4">
      <w:pPr>
        <w:pStyle w:val="EndNoteBibliography"/>
        <w:spacing w:after="120"/>
        <w:ind w:left="720" w:hanging="720"/>
        <w:rPr>
          <w:sz w:val="22"/>
          <w:szCs w:val="22"/>
        </w:rPr>
      </w:pPr>
      <w:bookmarkStart w:id="13" w:name="_ENREF_15"/>
      <w:r w:rsidRPr="001B7EF5">
        <w:rPr>
          <w:sz w:val="22"/>
          <w:szCs w:val="22"/>
        </w:rPr>
        <w:t xml:space="preserve">Sourisseau, S., A. Bassères, F. Périé, and T. Caquet. 2008. Calibration, validation and sensitivity analysis of an ecosystem model applied to artificial streams. Water Research </w:t>
      </w:r>
      <w:r w:rsidRPr="001B7EF5">
        <w:rPr>
          <w:b/>
          <w:sz w:val="22"/>
          <w:szCs w:val="22"/>
        </w:rPr>
        <w:t>42</w:t>
      </w:r>
      <w:r w:rsidRPr="001B7EF5">
        <w:rPr>
          <w:sz w:val="22"/>
          <w:szCs w:val="22"/>
        </w:rPr>
        <w:t>:1167-1181.</w:t>
      </w:r>
      <w:bookmarkEnd w:id="13"/>
    </w:p>
    <w:p w14:paraId="31EBE8F8" w14:textId="77777777" w:rsidR="00C249D9" w:rsidRPr="001B7EF5" w:rsidRDefault="00C249D9" w:rsidP="001E09C4">
      <w:pPr>
        <w:pStyle w:val="EndNoteBibliography"/>
        <w:spacing w:after="120"/>
        <w:ind w:left="720" w:hanging="720"/>
        <w:rPr>
          <w:sz w:val="22"/>
          <w:szCs w:val="22"/>
        </w:rPr>
      </w:pPr>
      <w:bookmarkStart w:id="14" w:name="_ENREF_16"/>
      <w:r w:rsidRPr="001B7EF5">
        <w:rPr>
          <w:sz w:val="22"/>
          <w:szCs w:val="22"/>
        </w:rPr>
        <w:t xml:space="preserve">Taner, M. U., J. N. Carleton, and M. Wellman. 2011. Integrated model projections of climate change impacts on a North American lake. Ecological Modelling </w:t>
      </w:r>
      <w:r w:rsidRPr="001B7EF5">
        <w:rPr>
          <w:b/>
          <w:sz w:val="22"/>
          <w:szCs w:val="22"/>
        </w:rPr>
        <w:t>222</w:t>
      </w:r>
      <w:r w:rsidRPr="001B7EF5">
        <w:rPr>
          <w:sz w:val="22"/>
          <w:szCs w:val="22"/>
        </w:rPr>
        <w:t>:3380– 3393.</w:t>
      </w:r>
      <w:bookmarkEnd w:id="14"/>
    </w:p>
    <w:p w14:paraId="42553980" w14:textId="77777777" w:rsidR="00082D94" w:rsidRPr="001B7EF5" w:rsidRDefault="00C249D9" w:rsidP="00082D94">
      <w:pPr>
        <w:pStyle w:val="EndNoteBibliography"/>
        <w:spacing w:after="120"/>
        <w:ind w:left="720" w:hanging="720"/>
        <w:rPr>
          <w:sz w:val="20"/>
          <w:szCs w:val="20"/>
        </w:rPr>
      </w:pPr>
      <w:bookmarkStart w:id="15" w:name="_ENREF_17"/>
      <w:r w:rsidRPr="001B7EF5">
        <w:rPr>
          <w:sz w:val="22"/>
          <w:szCs w:val="22"/>
        </w:rPr>
        <w:t>USGS. 2008. The Cheney Reservoir and Watershed Study.</w:t>
      </w:r>
      <w:bookmarkEnd w:id="15"/>
      <w:r w:rsidR="009A70F7" w:rsidRPr="001B7EF5">
        <w:rPr>
          <w:sz w:val="20"/>
          <w:szCs w:val="20"/>
        </w:rPr>
        <w:fldChar w:fldCharType="end"/>
      </w:r>
    </w:p>
    <w:sectPr w:rsidR="00082D94" w:rsidRPr="001B7EF5" w:rsidSect="00206CC8">
      <w:headerReference w:type="default" r:id="rId9"/>
      <w:footerReference w:type="default" r:id="rId10"/>
      <w:headerReference w:type="firs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10009" w14:textId="77777777" w:rsidR="00932B6D" w:rsidRDefault="00932B6D" w:rsidP="004A4E36">
      <w:pPr>
        <w:spacing w:after="0" w:line="240" w:lineRule="auto"/>
      </w:pPr>
      <w:r>
        <w:separator/>
      </w:r>
    </w:p>
  </w:endnote>
  <w:endnote w:type="continuationSeparator" w:id="0">
    <w:p w14:paraId="68DF8DF2" w14:textId="77777777" w:rsidR="00932B6D" w:rsidRDefault="00932B6D" w:rsidP="004A4E36">
      <w:pPr>
        <w:spacing w:after="0" w:line="240" w:lineRule="auto"/>
      </w:pPr>
      <w:r>
        <w:continuationSeparator/>
      </w:r>
    </w:p>
  </w:endnote>
  <w:endnote w:type="continuationNotice" w:id="1">
    <w:p w14:paraId="5F2F9647" w14:textId="77777777" w:rsidR="00932B6D" w:rsidRDefault="00932B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3576021"/>
      <w:docPartObj>
        <w:docPartGallery w:val="Page Numbers (Bottom of Page)"/>
        <w:docPartUnique/>
      </w:docPartObj>
    </w:sdtPr>
    <w:sdtEndPr>
      <w:rPr>
        <w:noProof/>
      </w:rPr>
    </w:sdtEndPr>
    <w:sdtContent>
      <w:p w14:paraId="7EB02405" w14:textId="77777777" w:rsidR="00B82843" w:rsidRDefault="00F14150" w:rsidP="003128CD">
        <w:pPr>
          <w:pStyle w:val="Footer"/>
          <w:jc w:val="center"/>
        </w:pPr>
        <w:r>
          <w:fldChar w:fldCharType="begin"/>
        </w:r>
        <w:r>
          <w:instrText xml:space="preserve"> PAGE   \* MERGEFORMAT </w:instrText>
        </w:r>
        <w:r>
          <w:fldChar w:fldCharType="separate"/>
        </w:r>
        <w:r w:rsidR="000F5D65">
          <w:rPr>
            <w:noProof/>
          </w:rPr>
          <w:t>1</w:t>
        </w:r>
        <w:r>
          <w:rPr>
            <w:noProof/>
          </w:rPr>
          <w:fldChar w:fldCharType="end"/>
        </w:r>
      </w:p>
    </w:sdtContent>
  </w:sdt>
  <w:p w14:paraId="4662D5F7" w14:textId="77777777" w:rsidR="00B82843" w:rsidRDefault="00B828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8E238" w14:textId="77777777" w:rsidR="00932B6D" w:rsidRDefault="00932B6D" w:rsidP="004A4E36">
      <w:pPr>
        <w:spacing w:after="0" w:line="240" w:lineRule="auto"/>
      </w:pPr>
      <w:r>
        <w:separator/>
      </w:r>
    </w:p>
  </w:footnote>
  <w:footnote w:type="continuationSeparator" w:id="0">
    <w:p w14:paraId="120DB27E" w14:textId="77777777" w:rsidR="00932B6D" w:rsidRDefault="00932B6D" w:rsidP="004A4E36">
      <w:pPr>
        <w:spacing w:after="0" w:line="240" w:lineRule="auto"/>
      </w:pPr>
      <w:r>
        <w:continuationSeparator/>
      </w:r>
    </w:p>
  </w:footnote>
  <w:footnote w:type="continuationNotice" w:id="1">
    <w:p w14:paraId="40D79DE2" w14:textId="77777777" w:rsidR="00932B6D" w:rsidRDefault="00932B6D">
      <w:pPr>
        <w:spacing w:after="0" w:line="240" w:lineRule="auto"/>
      </w:pPr>
    </w:p>
  </w:footnote>
  <w:footnote w:id="2">
    <w:p w14:paraId="42D893A8" w14:textId="77777777" w:rsidR="00B82843" w:rsidRDefault="00B82843">
      <w:pPr>
        <w:pStyle w:val="FootnoteText"/>
      </w:pPr>
      <w:r>
        <w:rPr>
          <w:rStyle w:val="FootnoteReference"/>
        </w:rPr>
        <w:footnoteRef/>
      </w:r>
      <w:r>
        <w:t xml:space="preserve"> In this case, the term “well calibrated” is a function of the available data to calibrate against and the goals of the study.  The term does not necessarily mean that all state variables in the study have been calibrated against an extensive data 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7D8E" w14:textId="190DE1F5" w:rsidR="00B82843" w:rsidRDefault="00200B07">
    <w:pPr>
      <w:pStyle w:val="Header"/>
    </w:pPr>
    <w:r>
      <w:t>Guide to AQUATOX</w:t>
    </w:r>
    <w:r w:rsidR="00F1217A">
      <w:t xml:space="preserve">.NET </w:t>
    </w:r>
    <w:r>
      <w:t>Simulations</w:t>
    </w:r>
    <w:r w:rsidR="00CA6D7B">
      <w:tab/>
    </w:r>
    <w:r w:rsidR="00CA6D7B">
      <w:tab/>
      <w:t>1/6/2023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56D5" w14:textId="77777777" w:rsidR="00B82843" w:rsidRPr="00887E1D" w:rsidRDefault="00B82843" w:rsidP="003128CD">
    <w:pPr>
      <w:pStyle w:val="Header"/>
      <w:rPr>
        <w:sz w:val="18"/>
        <w:szCs w:val="18"/>
      </w:rPr>
    </w:pPr>
    <w:r w:rsidRPr="00887E1D">
      <w:rPr>
        <w:sz w:val="18"/>
        <w:szCs w:val="18"/>
      </w:rPr>
      <w:t>GUIDANCE IN AQUATOX SETUP AND APPLICATION</w:t>
    </w:r>
  </w:p>
  <w:p w14:paraId="2BE4D6DD" w14:textId="77777777" w:rsidR="00B82843" w:rsidRPr="003128CD" w:rsidRDefault="00B82843" w:rsidP="00312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F0B"/>
    <w:multiLevelType w:val="hybridMultilevel"/>
    <w:tmpl w:val="D3E69AFE"/>
    <w:lvl w:ilvl="0" w:tplc="A22E35C8">
      <w:start w:val="1"/>
      <w:numFmt w:val="bullet"/>
      <w:lvlText w:val="•"/>
      <w:lvlJc w:val="left"/>
      <w:pPr>
        <w:tabs>
          <w:tab w:val="num" w:pos="360"/>
        </w:tabs>
        <w:ind w:left="360" w:hanging="360"/>
      </w:pPr>
      <w:rPr>
        <w:rFonts w:ascii="Arial" w:hAnsi="Arial" w:hint="default"/>
      </w:rPr>
    </w:lvl>
    <w:lvl w:ilvl="1" w:tplc="8C46E37A" w:tentative="1">
      <w:start w:val="1"/>
      <w:numFmt w:val="bullet"/>
      <w:lvlText w:val="•"/>
      <w:lvlJc w:val="left"/>
      <w:pPr>
        <w:tabs>
          <w:tab w:val="num" w:pos="1080"/>
        </w:tabs>
        <w:ind w:left="1080" w:hanging="360"/>
      </w:pPr>
      <w:rPr>
        <w:rFonts w:ascii="Arial" w:hAnsi="Arial" w:hint="default"/>
      </w:rPr>
    </w:lvl>
    <w:lvl w:ilvl="2" w:tplc="3F9216EC" w:tentative="1">
      <w:start w:val="1"/>
      <w:numFmt w:val="bullet"/>
      <w:lvlText w:val="•"/>
      <w:lvlJc w:val="left"/>
      <w:pPr>
        <w:tabs>
          <w:tab w:val="num" w:pos="1800"/>
        </w:tabs>
        <w:ind w:left="1800" w:hanging="360"/>
      </w:pPr>
      <w:rPr>
        <w:rFonts w:ascii="Arial" w:hAnsi="Arial" w:hint="default"/>
      </w:rPr>
    </w:lvl>
    <w:lvl w:ilvl="3" w:tplc="B1F6C5FC" w:tentative="1">
      <w:start w:val="1"/>
      <w:numFmt w:val="bullet"/>
      <w:lvlText w:val="•"/>
      <w:lvlJc w:val="left"/>
      <w:pPr>
        <w:tabs>
          <w:tab w:val="num" w:pos="2520"/>
        </w:tabs>
        <w:ind w:left="2520" w:hanging="360"/>
      </w:pPr>
      <w:rPr>
        <w:rFonts w:ascii="Arial" w:hAnsi="Arial" w:hint="default"/>
      </w:rPr>
    </w:lvl>
    <w:lvl w:ilvl="4" w:tplc="0A1A038E" w:tentative="1">
      <w:start w:val="1"/>
      <w:numFmt w:val="bullet"/>
      <w:lvlText w:val="•"/>
      <w:lvlJc w:val="left"/>
      <w:pPr>
        <w:tabs>
          <w:tab w:val="num" w:pos="3240"/>
        </w:tabs>
        <w:ind w:left="3240" w:hanging="360"/>
      </w:pPr>
      <w:rPr>
        <w:rFonts w:ascii="Arial" w:hAnsi="Arial" w:hint="default"/>
      </w:rPr>
    </w:lvl>
    <w:lvl w:ilvl="5" w:tplc="BCFCBD7E" w:tentative="1">
      <w:start w:val="1"/>
      <w:numFmt w:val="bullet"/>
      <w:lvlText w:val="•"/>
      <w:lvlJc w:val="left"/>
      <w:pPr>
        <w:tabs>
          <w:tab w:val="num" w:pos="3960"/>
        </w:tabs>
        <w:ind w:left="3960" w:hanging="360"/>
      </w:pPr>
      <w:rPr>
        <w:rFonts w:ascii="Arial" w:hAnsi="Arial" w:hint="default"/>
      </w:rPr>
    </w:lvl>
    <w:lvl w:ilvl="6" w:tplc="290E74B4" w:tentative="1">
      <w:start w:val="1"/>
      <w:numFmt w:val="bullet"/>
      <w:lvlText w:val="•"/>
      <w:lvlJc w:val="left"/>
      <w:pPr>
        <w:tabs>
          <w:tab w:val="num" w:pos="4680"/>
        </w:tabs>
        <w:ind w:left="4680" w:hanging="360"/>
      </w:pPr>
      <w:rPr>
        <w:rFonts w:ascii="Arial" w:hAnsi="Arial" w:hint="default"/>
      </w:rPr>
    </w:lvl>
    <w:lvl w:ilvl="7" w:tplc="7AEC1272" w:tentative="1">
      <w:start w:val="1"/>
      <w:numFmt w:val="bullet"/>
      <w:lvlText w:val="•"/>
      <w:lvlJc w:val="left"/>
      <w:pPr>
        <w:tabs>
          <w:tab w:val="num" w:pos="5400"/>
        </w:tabs>
        <w:ind w:left="5400" w:hanging="360"/>
      </w:pPr>
      <w:rPr>
        <w:rFonts w:ascii="Arial" w:hAnsi="Arial" w:hint="default"/>
      </w:rPr>
    </w:lvl>
    <w:lvl w:ilvl="8" w:tplc="0FE40CC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64C45B5"/>
    <w:multiLevelType w:val="hybridMultilevel"/>
    <w:tmpl w:val="F6CCA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0287D"/>
    <w:multiLevelType w:val="hybridMultilevel"/>
    <w:tmpl w:val="DFDC8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F512C"/>
    <w:multiLevelType w:val="hybridMultilevel"/>
    <w:tmpl w:val="A440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B389E"/>
    <w:multiLevelType w:val="hybridMultilevel"/>
    <w:tmpl w:val="8CF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36561"/>
    <w:multiLevelType w:val="hybridMultilevel"/>
    <w:tmpl w:val="193436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D48227A"/>
    <w:multiLevelType w:val="hybridMultilevel"/>
    <w:tmpl w:val="C42E9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0E7472"/>
    <w:multiLevelType w:val="hybridMultilevel"/>
    <w:tmpl w:val="25BC1874"/>
    <w:lvl w:ilvl="0" w:tplc="7CC044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F234E"/>
    <w:multiLevelType w:val="hybridMultilevel"/>
    <w:tmpl w:val="3668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C7040B"/>
    <w:multiLevelType w:val="hybridMultilevel"/>
    <w:tmpl w:val="762C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91C96"/>
    <w:multiLevelType w:val="hybridMultilevel"/>
    <w:tmpl w:val="DF70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54DD2"/>
    <w:multiLevelType w:val="hybridMultilevel"/>
    <w:tmpl w:val="D78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CC73A2"/>
    <w:multiLevelType w:val="hybridMultilevel"/>
    <w:tmpl w:val="B464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338C0"/>
    <w:multiLevelType w:val="hybridMultilevel"/>
    <w:tmpl w:val="98FC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102A35"/>
    <w:multiLevelType w:val="hybridMultilevel"/>
    <w:tmpl w:val="EE22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72863"/>
    <w:multiLevelType w:val="hybridMultilevel"/>
    <w:tmpl w:val="6BE49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4736BD"/>
    <w:multiLevelType w:val="hybridMultilevel"/>
    <w:tmpl w:val="564E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484830">
    <w:abstractNumId w:val="0"/>
  </w:num>
  <w:num w:numId="2" w16cid:durableId="2048602893">
    <w:abstractNumId w:val="6"/>
  </w:num>
  <w:num w:numId="3" w16cid:durableId="1183477761">
    <w:abstractNumId w:val="14"/>
  </w:num>
  <w:num w:numId="4" w16cid:durableId="127170758">
    <w:abstractNumId w:val="5"/>
  </w:num>
  <w:num w:numId="5" w16cid:durableId="13650287">
    <w:abstractNumId w:val="11"/>
  </w:num>
  <w:num w:numId="6" w16cid:durableId="1790465919">
    <w:abstractNumId w:val="9"/>
  </w:num>
  <w:num w:numId="7" w16cid:durableId="1700742822">
    <w:abstractNumId w:val="16"/>
  </w:num>
  <w:num w:numId="8" w16cid:durableId="113838896">
    <w:abstractNumId w:val="1"/>
  </w:num>
  <w:num w:numId="9" w16cid:durableId="785778376">
    <w:abstractNumId w:val="7"/>
  </w:num>
  <w:num w:numId="10" w16cid:durableId="1750955451">
    <w:abstractNumId w:val="13"/>
  </w:num>
  <w:num w:numId="11" w16cid:durableId="1175338205">
    <w:abstractNumId w:val="3"/>
  </w:num>
  <w:num w:numId="12" w16cid:durableId="1632055872">
    <w:abstractNumId w:val="12"/>
  </w:num>
  <w:num w:numId="13" w16cid:durableId="700402699">
    <w:abstractNumId w:val="10"/>
  </w:num>
  <w:num w:numId="14" w16cid:durableId="756710359">
    <w:abstractNumId w:val="15"/>
  </w:num>
  <w:num w:numId="15" w16cid:durableId="1715499910">
    <w:abstractNumId w:val="4"/>
  </w:num>
  <w:num w:numId="16" w16cid:durableId="1793011290">
    <w:abstractNumId w:val="8"/>
  </w:num>
  <w:num w:numId="17" w16cid:durableId="613056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Ecolog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dwxs90v5d2zx0ewaa0x9z0k9vw9z9wz9d20&quot;&gt;DWH Library&lt;record-ids&gt;&lt;item&gt;37&lt;/item&gt;&lt;item&gt;38&lt;/item&gt;&lt;/record-ids&gt;&lt;/item&gt;&lt;item db-id=&quot;pa0fvtx0wtvp9ne5s0fpesexxdetsa0zrf9v&quot;&gt;Park-Converted&lt;record-ids&gt;&lt;item&gt;32&lt;/item&gt;&lt;item&gt;95&lt;/item&gt;&lt;item&gt;309&lt;/item&gt;&lt;item&gt;356&lt;/item&gt;&lt;item&gt;412&lt;/item&gt;&lt;item&gt;427&lt;/item&gt;&lt;item&gt;456&lt;/item&gt;&lt;item&gt;535&lt;/item&gt;&lt;item&gt;559&lt;/item&gt;&lt;item&gt;664&lt;/item&gt;&lt;item&gt;807&lt;/item&gt;&lt;item&gt;852&lt;/item&gt;&lt;item&gt;853&lt;/item&gt;&lt;item&gt;856&lt;/item&gt;&lt;item&gt;901&lt;/item&gt;&lt;/record-ids&gt;&lt;/item&gt;&lt;/Libraries&gt;"/>
  </w:docVars>
  <w:rsids>
    <w:rsidRoot w:val="006A7965"/>
    <w:rsid w:val="00002D40"/>
    <w:rsid w:val="00007840"/>
    <w:rsid w:val="0000788C"/>
    <w:rsid w:val="00015018"/>
    <w:rsid w:val="0003300B"/>
    <w:rsid w:val="00053B39"/>
    <w:rsid w:val="000603BC"/>
    <w:rsid w:val="000652A3"/>
    <w:rsid w:val="000716DC"/>
    <w:rsid w:val="00082435"/>
    <w:rsid w:val="00082D94"/>
    <w:rsid w:val="00091EB3"/>
    <w:rsid w:val="00094A22"/>
    <w:rsid w:val="000A2123"/>
    <w:rsid w:val="000C458C"/>
    <w:rsid w:val="000C74A3"/>
    <w:rsid w:val="000C7682"/>
    <w:rsid w:val="000D0CFB"/>
    <w:rsid w:val="000F2361"/>
    <w:rsid w:val="000F5D65"/>
    <w:rsid w:val="00105979"/>
    <w:rsid w:val="0012209E"/>
    <w:rsid w:val="001273EA"/>
    <w:rsid w:val="00133E51"/>
    <w:rsid w:val="00135FCB"/>
    <w:rsid w:val="00151B36"/>
    <w:rsid w:val="00153D67"/>
    <w:rsid w:val="0016542F"/>
    <w:rsid w:val="001708B2"/>
    <w:rsid w:val="00171481"/>
    <w:rsid w:val="001B2004"/>
    <w:rsid w:val="001B7EF5"/>
    <w:rsid w:val="001C59F7"/>
    <w:rsid w:val="001E09C4"/>
    <w:rsid w:val="001F12AA"/>
    <w:rsid w:val="001F2A38"/>
    <w:rsid w:val="001F443B"/>
    <w:rsid w:val="00200B07"/>
    <w:rsid w:val="00206CC8"/>
    <w:rsid w:val="00214AA2"/>
    <w:rsid w:val="00217DFB"/>
    <w:rsid w:val="00237C40"/>
    <w:rsid w:val="002423A4"/>
    <w:rsid w:val="0025027B"/>
    <w:rsid w:val="00253A2B"/>
    <w:rsid w:val="002634EE"/>
    <w:rsid w:val="00277092"/>
    <w:rsid w:val="00282525"/>
    <w:rsid w:val="002B001A"/>
    <w:rsid w:val="002C0A8A"/>
    <w:rsid w:val="002C329F"/>
    <w:rsid w:val="002C4ADA"/>
    <w:rsid w:val="002D777C"/>
    <w:rsid w:val="002F37C0"/>
    <w:rsid w:val="002F535B"/>
    <w:rsid w:val="002F6288"/>
    <w:rsid w:val="003017C2"/>
    <w:rsid w:val="00304D3E"/>
    <w:rsid w:val="003128CD"/>
    <w:rsid w:val="00320010"/>
    <w:rsid w:val="00322133"/>
    <w:rsid w:val="00340760"/>
    <w:rsid w:val="00361B94"/>
    <w:rsid w:val="00371DFE"/>
    <w:rsid w:val="00386BF5"/>
    <w:rsid w:val="003908A5"/>
    <w:rsid w:val="00391E57"/>
    <w:rsid w:val="00393E8B"/>
    <w:rsid w:val="00395778"/>
    <w:rsid w:val="003977C7"/>
    <w:rsid w:val="003A683C"/>
    <w:rsid w:val="003B0635"/>
    <w:rsid w:val="003B0B16"/>
    <w:rsid w:val="003E53C2"/>
    <w:rsid w:val="003E668C"/>
    <w:rsid w:val="003F6BA3"/>
    <w:rsid w:val="004002E2"/>
    <w:rsid w:val="00415DEE"/>
    <w:rsid w:val="00417985"/>
    <w:rsid w:val="00420726"/>
    <w:rsid w:val="00442195"/>
    <w:rsid w:val="00443E37"/>
    <w:rsid w:val="00457773"/>
    <w:rsid w:val="004647D6"/>
    <w:rsid w:val="004719EF"/>
    <w:rsid w:val="004A2CB7"/>
    <w:rsid w:val="004A4E36"/>
    <w:rsid w:val="004A6025"/>
    <w:rsid w:val="004A76AA"/>
    <w:rsid w:val="004C7ADC"/>
    <w:rsid w:val="004D17EC"/>
    <w:rsid w:val="004E1DBC"/>
    <w:rsid w:val="005003E1"/>
    <w:rsid w:val="00522BF5"/>
    <w:rsid w:val="0056734D"/>
    <w:rsid w:val="00580333"/>
    <w:rsid w:val="005877CD"/>
    <w:rsid w:val="005879AD"/>
    <w:rsid w:val="005901BE"/>
    <w:rsid w:val="00591DA5"/>
    <w:rsid w:val="005B2854"/>
    <w:rsid w:val="005B30CE"/>
    <w:rsid w:val="005C47B9"/>
    <w:rsid w:val="005D1A6D"/>
    <w:rsid w:val="005D684E"/>
    <w:rsid w:val="005E4A8A"/>
    <w:rsid w:val="005E60F5"/>
    <w:rsid w:val="005F05B4"/>
    <w:rsid w:val="005F21FD"/>
    <w:rsid w:val="00627F4C"/>
    <w:rsid w:val="00632DE8"/>
    <w:rsid w:val="006362F7"/>
    <w:rsid w:val="00641359"/>
    <w:rsid w:val="00643081"/>
    <w:rsid w:val="00647F7A"/>
    <w:rsid w:val="00652E58"/>
    <w:rsid w:val="006540FA"/>
    <w:rsid w:val="00661FEC"/>
    <w:rsid w:val="00672B3C"/>
    <w:rsid w:val="006744A3"/>
    <w:rsid w:val="0068596E"/>
    <w:rsid w:val="0069054A"/>
    <w:rsid w:val="00690AF3"/>
    <w:rsid w:val="006A75E1"/>
    <w:rsid w:val="006A7965"/>
    <w:rsid w:val="006B5F4B"/>
    <w:rsid w:val="006B7C76"/>
    <w:rsid w:val="006C29F7"/>
    <w:rsid w:val="006D11A5"/>
    <w:rsid w:val="006E495D"/>
    <w:rsid w:val="006E516F"/>
    <w:rsid w:val="006F4E54"/>
    <w:rsid w:val="007155FD"/>
    <w:rsid w:val="00715CEF"/>
    <w:rsid w:val="007207FC"/>
    <w:rsid w:val="00742B98"/>
    <w:rsid w:val="00765A6F"/>
    <w:rsid w:val="007734CB"/>
    <w:rsid w:val="007879AB"/>
    <w:rsid w:val="00794561"/>
    <w:rsid w:val="007A4A01"/>
    <w:rsid w:val="007A7643"/>
    <w:rsid w:val="007B168A"/>
    <w:rsid w:val="007C4FDB"/>
    <w:rsid w:val="007C527F"/>
    <w:rsid w:val="007D1AAF"/>
    <w:rsid w:val="00805AB6"/>
    <w:rsid w:val="00811AB0"/>
    <w:rsid w:val="00812CCF"/>
    <w:rsid w:val="00820383"/>
    <w:rsid w:val="00823C5E"/>
    <w:rsid w:val="008427A5"/>
    <w:rsid w:val="00853E3A"/>
    <w:rsid w:val="008603F9"/>
    <w:rsid w:val="00882294"/>
    <w:rsid w:val="00887E1D"/>
    <w:rsid w:val="008A03F9"/>
    <w:rsid w:val="008A2E87"/>
    <w:rsid w:val="008A5BE3"/>
    <w:rsid w:val="008E1B0B"/>
    <w:rsid w:val="008E49D9"/>
    <w:rsid w:val="008E7C84"/>
    <w:rsid w:val="00910D9B"/>
    <w:rsid w:val="0091525B"/>
    <w:rsid w:val="0093253A"/>
    <w:rsid w:val="00932B6D"/>
    <w:rsid w:val="00946290"/>
    <w:rsid w:val="00970E64"/>
    <w:rsid w:val="009810F2"/>
    <w:rsid w:val="009858C0"/>
    <w:rsid w:val="00997719"/>
    <w:rsid w:val="009A50AD"/>
    <w:rsid w:val="009A70F7"/>
    <w:rsid w:val="009A78D2"/>
    <w:rsid w:val="009D1799"/>
    <w:rsid w:val="009E0B27"/>
    <w:rsid w:val="009F36F2"/>
    <w:rsid w:val="009F4797"/>
    <w:rsid w:val="00A317EB"/>
    <w:rsid w:val="00A31BA3"/>
    <w:rsid w:val="00A3310A"/>
    <w:rsid w:val="00A33C76"/>
    <w:rsid w:val="00A512E7"/>
    <w:rsid w:val="00A540BA"/>
    <w:rsid w:val="00A54F00"/>
    <w:rsid w:val="00A56699"/>
    <w:rsid w:val="00A66413"/>
    <w:rsid w:val="00A704FF"/>
    <w:rsid w:val="00A90E0A"/>
    <w:rsid w:val="00A93DF5"/>
    <w:rsid w:val="00A9436D"/>
    <w:rsid w:val="00AB366D"/>
    <w:rsid w:val="00AC1D6D"/>
    <w:rsid w:val="00AC63FF"/>
    <w:rsid w:val="00AE6654"/>
    <w:rsid w:val="00AE73D2"/>
    <w:rsid w:val="00B002D4"/>
    <w:rsid w:val="00B03A04"/>
    <w:rsid w:val="00B15C88"/>
    <w:rsid w:val="00B15E64"/>
    <w:rsid w:val="00B32040"/>
    <w:rsid w:val="00B3377C"/>
    <w:rsid w:val="00B37BDE"/>
    <w:rsid w:val="00B40B18"/>
    <w:rsid w:val="00B5266B"/>
    <w:rsid w:val="00B5727A"/>
    <w:rsid w:val="00B65B22"/>
    <w:rsid w:val="00B720DD"/>
    <w:rsid w:val="00B730F2"/>
    <w:rsid w:val="00B82843"/>
    <w:rsid w:val="00B926DD"/>
    <w:rsid w:val="00BA53AA"/>
    <w:rsid w:val="00BA715B"/>
    <w:rsid w:val="00BB602E"/>
    <w:rsid w:val="00BC14E1"/>
    <w:rsid w:val="00BD10BB"/>
    <w:rsid w:val="00BE4415"/>
    <w:rsid w:val="00BF6BB5"/>
    <w:rsid w:val="00C00D34"/>
    <w:rsid w:val="00C2412D"/>
    <w:rsid w:val="00C249D9"/>
    <w:rsid w:val="00C2787C"/>
    <w:rsid w:val="00C64C06"/>
    <w:rsid w:val="00C700DA"/>
    <w:rsid w:val="00C8310D"/>
    <w:rsid w:val="00C86F4B"/>
    <w:rsid w:val="00C96B26"/>
    <w:rsid w:val="00CA0104"/>
    <w:rsid w:val="00CA6D7B"/>
    <w:rsid w:val="00CB3941"/>
    <w:rsid w:val="00CD2B1E"/>
    <w:rsid w:val="00CE04F4"/>
    <w:rsid w:val="00CE0AF9"/>
    <w:rsid w:val="00CE3846"/>
    <w:rsid w:val="00CF19BC"/>
    <w:rsid w:val="00CF5118"/>
    <w:rsid w:val="00D01D0D"/>
    <w:rsid w:val="00D33654"/>
    <w:rsid w:val="00D337FE"/>
    <w:rsid w:val="00D566AB"/>
    <w:rsid w:val="00D568E9"/>
    <w:rsid w:val="00D56D7F"/>
    <w:rsid w:val="00D641ED"/>
    <w:rsid w:val="00D742D8"/>
    <w:rsid w:val="00D84A92"/>
    <w:rsid w:val="00D95057"/>
    <w:rsid w:val="00DC2617"/>
    <w:rsid w:val="00DD07A6"/>
    <w:rsid w:val="00DD3262"/>
    <w:rsid w:val="00DD350F"/>
    <w:rsid w:val="00E03554"/>
    <w:rsid w:val="00E136FB"/>
    <w:rsid w:val="00E146A3"/>
    <w:rsid w:val="00E2228C"/>
    <w:rsid w:val="00E30871"/>
    <w:rsid w:val="00E51762"/>
    <w:rsid w:val="00E82007"/>
    <w:rsid w:val="00EB5F40"/>
    <w:rsid w:val="00EC01E6"/>
    <w:rsid w:val="00EC4480"/>
    <w:rsid w:val="00ED0826"/>
    <w:rsid w:val="00ED69F1"/>
    <w:rsid w:val="00EF0D0F"/>
    <w:rsid w:val="00F10159"/>
    <w:rsid w:val="00F1217A"/>
    <w:rsid w:val="00F12B01"/>
    <w:rsid w:val="00F14150"/>
    <w:rsid w:val="00F17031"/>
    <w:rsid w:val="00F26ECA"/>
    <w:rsid w:val="00F32C26"/>
    <w:rsid w:val="00F4507D"/>
    <w:rsid w:val="00F6243E"/>
    <w:rsid w:val="00F81D5A"/>
    <w:rsid w:val="00F878A6"/>
    <w:rsid w:val="00F90946"/>
    <w:rsid w:val="00F91230"/>
    <w:rsid w:val="00F95BAB"/>
    <w:rsid w:val="00FA2944"/>
    <w:rsid w:val="00FB61C0"/>
    <w:rsid w:val="00FC1197"/>
    <w:rsid w:val="00FD3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97D47"/>
  <w15:docId w15:val="{52058758-6BF5-4AA7-8E5D-78A239E64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965"/>
    <w:rPr>
      <w:rFonts w:ascii="Arial" w:hAnsi="Arial" w:cs="Arial"/>
      <w:sz w:val="24"/>
      <w:szCs w:val="24"/>
    </w:rPr>
  </w:style>
  <w:style w:type="paragraph" w:styleId="Heading1">
    <w:name w:val="heading 1"/>
    <w:basedOn w:val="Normal"/>
    <w:next w:val="Normal"/>
    <w:link w:val="Heading1Char"/>
    <w:uiPriority w:val="9"/>
    <w:qFormat/>
    <w:rsid w:val="006A7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AB0"/>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A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9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1AB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5778"/>
    <w:rPr>
      <w:color w:val="0000FF" w:themeColor="hyperlink"/>
      <w:u w:val="single"/>
    </w:rPr>
  </w:style>
  <w:style w:type="paragraph" w:styleId="TOCHeading">
    <w:name w:val="TOC Heading"/>
    <w:basedOn w:val="Heading1"/>
    <w:next w:val="Normal"/>
    <w:uiPriority w:val="39"/>
    <w:unhideWhenUsed/>
    <w:qFormat/>
    <w:rsid w:val="00395778"/>
    <w:pPr>
      <w:outlineLvl w:val="9"/>
    </w:pPr>
    <w:rPr>
      <w:lang w:eastAsia="ja-JP"/>
    </w:rPr>
  </w:style>
  <w:style w:type="paragraph" w:styleId="TOC2">
    <w:name w:val="toc 2"/>
    <w:basedOn w:val="Normal"/>
    <w:next w:val="Normal"/>
    <w:autoRedefine/>
    <w:uiPriority w:val="39"/>
    <w:unhideWhenUsed/>
    <w:rsid w:val="00395778"/>
    <w:pPr>
      <w:spacing w:after="100"/>
      <w:ind w:left="240"/>
    </w:pPr>
  </w:style>
  <w:style w:type="paragraph" w:styleId="BalloonText">
    <w:name w:val="Balloon Text"/>
    <w:basedOn w:val="Normal"/>
    <w:link w:val="BalloonTextChar"/>
    <w:uiPriority w:val="99"/>
    <w:semiHidden/>
    <w:unhideWhenUsed/>
    <w:rsid w:val="00395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78"/>
    <w:rPr>
      <w:rFonts w:ascii="Tahoma" w:hAnsi="Tahoma" w:cs="Tahoma"/>
      <w:sz w:val="16"/>
      <w:szCs w:val="16"/>
    </w:rPr>
  </w:style>
  <w:style w:type="paragraph" w:styleId="ListParagraph">
    <w:name w:val="List Paragraph"/>
    <w:basedOn w:val="Normal"/>
    <w:link w:val="ListParagraphChar"/>
    <w:uiPriority w:val="34"/>
    <w:qFormat/>
    <w:rsid w:val="00811AB0"/>
    <w:pPr>
      <w:ind w:left="720"/>
      <w:contextualSpacing/>
    </w:pPr>
  </w:style>
  <w:style w:type="character" w:customStyle="1" w:styleId="ListParagraphChar">
    <w:name w:val="List Paragraph Char"/>
    <w:basedOn w:val="DefaultParagraphFont"/>
    <w:link w:val="ListParagraph"/>
    <w:uiPriority w:val="34"/>
    <w:rsid w:val="00811AB0"/>
    <w:rPr>
      <w:rFonts w:ascii="Arial" w:hAnsi="Arial" w:cs="Arial"/>
      <w:sz w:val="24"/>
      <w:szCs w:val="24"/>
    </w:rPr>
  </w:style>
  <w:style w:type="character" w:customStyle="1" w:styleId="Heading3Char">
    <w:name w:val="Heading 3 Char"/>
    <w:basedOn w:val="DefaultParagraphFont"/>
    <w:link w:val="Heading3"/>
    <w:uiPriority w:val="9"/>
    <w:rsid w:val="00811AB0"/>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68596E"/>
    <w:pPr>
      <w:spacing w:after="100"/>
      <w:ind w:left="480"/>
    </w:pPr>
  </w:style>
  <w:style w:type="paragraph" w:customStyle="1" w:styleId="EndNoteBibliography">
    <w:name w:val="EndNote Bibliography"/>
    <w:basedOn w:val="Normal"/>
    <w:link w:val="EndNoteBibliographyChar"/>
    <w:rsid w:val="0068596E"/>
    <w:pPr>
      <w:spacing w:line="240" w:lineRule="auto"/>
    </w:pPr>
    <w:rPr>
      <w:noProof/>
    </w:rPr>
  </w:style>
  <w:style w:type="character" w:customStyle="1" w:styleId="EndNoteBibliographyChar">
    <w:name w:val="EndNote Bibliography Char"/>
    <w:basedOn w:val="DefaultParagraphFont"/>
    <w:link w:val="EndNoteBibliography"/>
    <w:rsid w:val="0068596E"/>
    <w:rPr>
      <w:rFonts w:ascii="Arial" w:hAnsi="Arial" w:cs="Arial"/>
      <w:noProof/>
      <w:sz w:val="24"/>
      <w:szCs w:val="24"/>
    </w:rPr>
  </w:style>
  <w:style w:type="paragraph" w:styleId="Subtitle">
    <w:name w:val="Subtitle"/>
    <w:basedOn w:val="Normal"/>
    <w:next w:val="Normal"/>
    <w:link w:val="SubtitleChar"/>
    <w:uiPriority w:val="11"/>
    <w:qFormat/>
    <w:rsid w:val="0068596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8596E"/>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8E49D9"/>
    <w:rPr>
      <w:sz w:val="16"/>
      <w:szCs w:val="16"/>
    </w:rPr>
  </w:style>
  <w:style w:type="paragraph" w:styleId="CommentText">
    <w:name w:val="annotation text"/>
    <w:basedOn w:val="Normal"/>
    <w:link w:val="CommentTextChar"/>
    <w:uiPriority w:val="99"/>
    <w:semiHidden/>
    <w:unhideWhenUsed/>
    <w:rsid w:val="008E49D9"/>
    <w:pPr>
      <w:spacing w:line="240" w:lineRule="auto"/>
    </w:pPr>
    <w:rPr>
      <w:sz w:val="20"/>
      <w:szCs w:val="20"/>
    </w:rPr>
  </w:style>
  <w:style w:type="character" w:customStyle="1" w:styleId="CommentTextChar">
    <w:name w:val="Comment Text Char"/>
    <w:basedOn w:val="DefaultParagraphFont"/>
    <w:link w:val="CommentText"/>
    <w:uiPriority w:val="99"/>
    <w:semiHidden/>
    <w:rsid w:val="008E49D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E49D9"/>
    <w:rPr>
      <w:b/>
      <w:bCs/>
    </w:rPr>
  </w:style>
  <w:style w:type="character" w:customStyle="1" w:styleId="CommentSubjectChar">
    <w:name w:val="Comment Subject Char"/>
    <w:basedOn w:val="CommentTextChar"/>
    <w:link w:val="CommentSubject"/>
    <w:uiPriority w:val="99"/>
    <w:semiHidden/>
    <w:rsid w:val="008E49D9"/>
    <w:rPr>
      <w:rFonts w:ascii="Arial" w:hAnsi="Arial" w:cs="Arial"/>
      <w:b/>
      <w:bCs/>
      <w:sz w:val="20"/>
      <w:szCs w:val="20"/>
    </w:rPr>
  </w:style>
  <w:style w:type="character" w:styleId="FollowedHyperlink">
    <w:name w:val="FollowedHyperlink"/>
    <w:basedOn w:val="DefaultParagraphFont"/>
    <w:uiPriority w:val="99"/>
    <w:semiHidden/>
    <w:unhideWhenUsed/>
    <w:rsid w:val="003908A5"/>
    <w:rPr>
      <w:color w:val="800080" w:themeColor="followedHyperlink"/>
      <w:u w:val="single"/>
    </w:rPr>
  </w:style>
  <w:style w:type="paragraph" w:styleId="TOC1">
    <w:name w:val="toc 1"/>
    <w:basedOn w:val="Normal"/>
    <w:next w:val="Normal"/>
    <w:autoRedefine/>
    <w:uiPriority w:val="39"/>
    <w:unhideWhenUsed/>
    <w:rsid w:val="00C00D34"/>
    <w:pPr>
      <w:spacing w:after="100"/>
    </w:pPr>
  </w:style>
  <w:style w:type="paragraph" w:styleId="Caption">
    <w:name w:val="caption"/>
    <w:basedOn w:val="Normal"/>
    <w:next w:val="Normal"/>
    <w:uiPriority w:val="35"/>
    <w:unhideWhenUsed/>
    <w:qFormat/>
    <w:rsid w:val="00253A2B"/>
    <w:pPr>
      <w:spacing w:line="240" w:lineRule="auto"/>
    </w:pPr>
    <w:rPr>
      <w:b/>
      <w:bCs/>
      <w:color w:val="4F81BD" w:themeColor="accent1"/>
      <w:sz w:val="18"/>
      <w:szCs w:val="18"/>
    </w:rPr>
  </w:style>
  <w:style w:type="paragraph" w:styleId="Header">
    <w:name w:val="header"/>
    <w:basedOn w:val="Normal"/>
    <w:link w:val="HeaderChar"/>
    <w:uiPriority w:val="99"/>
    <w:unhideWhenUsed/>
    <w:rsid w:val="004A4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4E36"/>
    <w:rPr>
      <w:rFonts w:ascii="Arial" w:hAnsi="Arial" w:cs="Arial"/>
      <w:sz w:val="24"/>
      <w:szCs w:val="24"/>
    </w:rPr>
  </w:style>
  <w:style w:type="paragraph" w:styleId="Footer">
    <w:name w:val="footer"/>
    <w:basedOn w:val="Normal"/>
    <w:link w:val="FooterChar"/>
    <w:uiPriority w:val="99"/>
    <w:unhideWhenUsed/>
    <w:rsid w:val="004A4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4E36"/>
    <w:rPr>
      <w:rFonts w:ascii="Arial" w:hAnsi="Arial" w:cs="Arial"/>
      <w:sz w:val="24"/>
      <w:szCs w:val="24"/>
    </w:rPr>
  </w:style>
  <w:style w:type="paragraph" w:customStyle="1" w:styleId="EndNoteBibliographyTitle">
    <w:name w:val="EndNote Bibliography Title"/>
    <w:basedOn w:val="Normal"/>
    <w:link w:val="EndNoteBibliographyTitleChar"/>
    <w:rsid w:val="00C249D9"/>
    <w:pPr>
      <w:spacing w:after="0"/>
      <w:jc w:val="center"/>
    </w:pPr>
    <w:rPr>
      <w:noProof/>
    </w:rPr>
  </w:style>
  <w:style w:type="character" w:customStyle="1" w:styleId="EndNoteBibliographyTitleChar">
    <w:name w:val="EndNote Bibliography Title Char"/>
    <w:basedOn w:val="ListParagraphChar"/>
    <w:link w:val="EndNoteBibliographyTitle"/>
    <w:rsid w:val="00C249D9"/>
    <w:rPr>
      <w:rFonts w:ascii="Arial" w:hAnsi="Arial" w:cs="Arial"/>
      <w:noProof/>
      <w:sz w:val="24"/>
      <w:szCs w:val="24"/>
    </w:rPr>
  </w:style>
  <w:style w:type="paragraph" w:styleId="Revision">
    <w:name w:val="Revision"/>
    <w:hidden/>
    <w:uiPriority w:val="99"/>
    <w:semiHidden/>
    <w:rsid w:val="009D1799"/>
    <w:pPr>
      <w:spacing w:after="0" w:line="240" w:lineRule="auto"/>
    </w:pPr>
    <w:rPr>
      <w:rFonts w:ascii="Arial" w:hAnsi="Arial" w:cs="Arial"/>
      <w:sz w:val="24"/>
      <w:szCs w:val="24"/>
    </w:rPr>
  </w:style>
  <w:style w:type="paragraph" w:styleId="FootnoteText">
    <w:name w:val="footnote text"/>
    <w:basedOn w:val="Normal"/>
    <w:link w:val="FootnoteTextChar"/>
    <w:uiPriority w:val="99"/>
    <w:semiHidden/>
    <w:unhideWhenUsed/>
    <w:rsid w:val="004647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47D6"/>
    <w:rPr>
      <w:rFonts w:ascii="Arial" w:hAnsi="Arial" w:cs="Arial"/>
      <w:sz w:val="20"/>
      <w:szCs w:val="20"/>
    </w:rPr>
  </w:style>
  <w:style w:type="character" w:styleId="FootnoteReference">
    <w:name w:val="footnote reference"/>
    <w:basedOn w:val="DefaultParagraphFont"/>
    <w:uiPriority w:val="99"/>
    <w:semiHidden/>
    <w:unhideWhenUsed/>
    <w:rsid w:val="004647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0306">
      <w:bodyDiv w:val="1"/>
      <w:marLeft w:val="0"/>
      <w:marRight w:val="0"/>
      <w:marTop w:val="0"/>
      <w:marBottom w:val="0"/>
      <w:divBdr>
        <w:top w:val="none" w:sz="0" w:space="0" w:color="auto"/>
        <w:left w:val="none" w:sz="0" w:space="0" w:color="auto"/>
        <w:bottom w:val="none" w:sz="0" w:space="0" w:color="auto"/>
        <w:right w:val="none" w:sz="0" w:space="0" w:color="auto"/>
      </w:divBdr>
    </w:div>
    <w:div w:id="14661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47257-1A48-4B3B-B8A6-387918B6F7CA}">
  <ds:schemaRefs>
    <ds:schemaRef ds:uri="http://schemas.openxmlformats.org/officeDocument/2006/bibliography"/>
  </ds:schemaRefs>
</ds:datastoreItem>
</file>

<file path=customXml/itemProps2.xml><?xml version="1.0" encoding="utf-8"?>
<ds:datastoreItem xmlns:ds="http://schemas.openxmlformats.org/officeDocument/2006/customXml" ds:itemID="{E225965A-82DB-442C-8D3B-29A39FBD9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1</Pages>
  <Words>2553</Words>
  <Characters>14554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Guidance in AQUATOX Setup and Application</vt:lpstr>
    </vt:vector>
  </TitlesOfParts>
  <Company>Microsoft</Company>
  <LinksUpToDate>false</LinksUpToDate>
  <CharactersWithSpaces>17073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in AQUATOX Setup and Application</dc:title>
  <dc:creator>US EPA</dc:creator>
  <cp:keywords>AQUATOX, ecosystem model, ecological risk assessment, nutrients, eutrophication, toxicity, aquatic ecosystems, bioaccumulation, ecological modeling, diagenesis, aquatic ecology, integrated model, fate and effects, ecotoxicological, ecotoxicity, bioenergetics, water quality, BASINS, parameters, outputs, application, setup, set up, guidance,</cp:keywords>
  <cp:lastModifiedBy>Jonathan Clough</cp:lastModifiedBy>
  <cp:revision>5</cp:revision>
  <cp:lastPrinted>2023-01-06T17:01:00Z</cp:lastPrinted>
  <dcterms:created xsi:type="dcterms:W3CDTF">2023-01-06T16:54:00Z</dcterms:created>
  <dcterms:modified xsi:type="dcterms:W3CDTF">2023-01-09T22:14:00Z</dcterms:modified>
</cp:coreProperties>
</file>