
<file path=[Content_Types].xml><?xml version="1.0" encoding="utf-8"?>
<Types xmlns="http://schemas.openxmlformats.org/package/2006/content-types">
  <Default Extension="png" ContentType="image/png"/>
  <Default Extension="pcz" ContentType="image/x-pcz"/>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403" w:rsidRPr="00DF5FEC" w:rsidRDefault="00D91403" w:rsidP="00D91403">
      <w:pPr>
        <w:widowControl/>
        <w:outlineLvl w:val="0"/>
      </w:pPr>
      <w:bookmarkStart w:id="0" w:name="_GoBack"/>
      <w:bookmarkEnd w:id="0"/>
      <w:r w:rsidRPr="00DF5FEC">
        <w:rPr>
          <w:b/>
          <w:bCs/>
        </w:rPr>
        <w:t>Volume</w:t>
      </w:r>
      <w:r w:rsidRPr="00DF5FEC">
        <w:fldChar w:fldCharType="begin"/>
      </w:r>
      <w:r w:rsidRPr="00DF5FEC">
        <w:instrText>tc \l3 "</w:instrText>
      </w:r>
      <w:bookmarkStart w:id="1" w:name="_Toc471905917"/>
      <w:r w:rsidRPr="00DF5FEC">
        <w:rPr>
          <w:b/>
          <w:bCs/>
        </w:rPr>
        <w:instrText>Volume</w:instrText>
      </w:r>
      <w:bookmarkEnd w:id="1"/>
      <w:r w:rsidRPr="00DF5FEC">
        <w:fldChar w:fldCharType="end"/>
      </w:r>
    </w:p>
    <w:p w:rsidR="00D91403" w:rsidRPr="00DF5FEC" w:rsidRDefault="00D91403" w:rsidP="00D91403">
      <w:pPr>
        <w:widowControl/>
      </w:pPr>
    </w:p>
    <w:p w:rsidR="00D91403" w:rsidRDefault="00D91403" w:rsidP="00D91403">
      <w:pPr>
        <w:widowControl/>
      </w:pPr>
      <w:r w:rsidRPr="00DF5FEC">
        <w:t>Volume is a state variable and can be computed in several ways depending on availability of data and the site dynamics.  It is important for computing the dilution or concentration of pollutants, nutrients, and organisms; it may be constant, but usually it is time varying.  In the model, ponds, lakes, and reservoirs are treated differently than streams, especially with respect to computing volumes.  The change in volume of ponds, lakes, and reservoirs is computed as:</w:t>
      </w:r>
    </w:p>
    <w:p w:rsidR="00D91403" w:rsidRDefault="00D91403" w:rsidP="00D91403">
      <w:pPr>
        <w:widowControl/>
      </w:pPr>
    </w:p>
    <w:p w:rsidR="00D91403" w:rsidRPr="00DF5FEC" w:rsidRDefault="00D91403" w:rsidP="00D91403">
      <w:pPr>
        <w:widowControl/>
      </w:pPr>
    </w:p>
    <w:p w:rsidR="00D91403" w:rsidRDefault="00D91403" w:rsidP="00D91403">
      <w:pPr>
        <w:tabs>
          <w:tab w:val="center" w:pos="4680"/>
          <w:tab w:val="right" w:pos="9360"/>
        </w:tabs>
        <w:jc w:val="center"/>
      </w:pPr>
    </w:p>
    <w:p w:rsidR="00D91403" w:rsidRPr="00DF5FEC" w:rsidRDefault="00D91403" w:rsidP="00D91403">
      <w:pPr>
        <w:tabs>
          <w:tab w:val="center" w:pos="4680"/>
          <w:tab w:val="right" w:pos="9360"/>
        </w:tabs>
        <w:jc w:val="center"/>
      </w:pPr>
      <w:r>
        <w:tab/>
      </w:r>
      <w:r w:rsidRPr="00DF5FEC">
        <w:rPr>
          <w:position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2.75pt;height:30.85pt">
            <v:imagedata r:id="rId6" o:title=""/>
          </v:shape>
        </w:pict>
      </w:r>
      <w:r>
        <w:tab/>
      </w:r>
      <w:bookmarkStart w:id="2" w:name="dVolume"/>
      <w:r w:rsidRPr="005E1767">
        <w:rPr>
          <w:b/>
        </w:rPr>
        <w:t>(</w:t>
      </w:r>
      <w:r>
        <w:rPr>
          <w:b/>
          <w:noProof/>
        </w:rPr>
        <w:t>2</w:t>
      </w:r>
      <w:r w:rsidRPr="005E1767">
        <w:rPr>
          <w:b/>
        </w:rPr>
        <w:t>)</w:t>
      </w:r>
      <w:bookmarkEnd w:id="2"/>
      <w:r>
        <w:tab/>
      </w:r>
    </w:p>
    <w:p w:rsidR="00D91403" w:rsidRPr="00DF5FEC" w:rsidRDefault="00D91403" w:rsidP="00D91403">
      <w:pPr>
        <w:widowControl/>
      </w:pPr>
      <w:proofErr w:type="gramStart"/>
      <w:r w:rsidRPr="00DF5FEC">
        <w:t>where</w:t>
      </w:r>
      <w:proofErr w:type="gramEnd"/>
      <w:r w:rsidRPr="00DF5FEC">
        <w:t>:</w:t>
      </w:r>
    </w:p>
    <w:p w:rsidR="00D91403" w:rsidRPr="007C5358" w:rsidRDefault="00D91403" w:rsidP="00D91403">
      <w:pPr>
        <w:widowControl/>
        <w:tabs>
          <w:tab w:val="left" w:pos="-1440"/>
        </w:tabs>
        <w:ind w:left="2880" w:hanging="2160"/>
        <w:rPr>
          <w:iCs/>
        </w:rPr>
      </w:pPr>
      <w:proofErr w:type="spellStart"/>
      <w:proofErr w:type="gramStart"/>
      <w:r w:rsidRPr="00DF5FEC">
        <w:rPr>
          <w:i/>
          <w:iCs/>
        </w:rPr>
        <w:t>dVolume</w:t>
      </w:r>
      <w:proofErr w:type="spellEnd"/>
      <w:r w:rsidRPr="00DF5FEC">
        <w:rPr>
          <w:i/>
          <w:iCs/>
        </w:rPr>
        <w:t>/</w:t>
      </w:r>
      <w:proofErr w:type="spellStart"/>
      <w:r w:rsidRPr="00DF5FEC">
        <w:rPr>
          <w:i/>
          <w:iCs/>
        </w:rPr>
        <w:t>dt</w:t>
      </w:r>
      <w:proofErr w:type="spellEnd"/>
      <w:proofErr w:type="gramEnd"/>
      <w:r w:rsidRPr="002E3F5E">
        <w:rPr>
          <w:i/>
          <w:iCs/>
        </w:rPr>
        <w:tab/>
      </w:r>
      <w:r w:rsidRPr="007C5358">
        <w:rPr>
          <w:iCs/>
        </w:rPr>
        <w:t>=</w:t>
      </w:r>
      <w:r w:rsidRPr="007C5358">
        <w:rPr>
          <w:iCs/>
        </w:rPr>
        <w:tab/>
        <w:t>derivative for volume of water (m3/d),</w:t>
      </w:r>
    </w:p>
    <w:p w:rsidR="00D91403" w:rsidRPr="007C5358" w:rsidRDefault="00D91403" w:rsidP="00D91403">
      <w:pPr>
        <w:widowControl/>
        <w:tabs>
          <w:tab w:val="left" w:pos="-1440"/>
        </w:tabs>
        <w:ind w:left="2880" w:hanging="2160"/>
        <w:rPr>
          <w:iCs/>
        </w:rPr>
      </w:pPr>
      <w:r w:rsidRPr="00DF5FEC">
        <w:rPr>
          <w:i/>
          <w:iCs/>
        </w:rPr>
        <w:t>Inflow</w:t>
      </w:r>
      <w:r w:rsidRPr="002E3F5E">
        <w:rPr>
          <w:i/>
          <w:iCs/>
        </w:rPr>
        <w:tab/>
      </w:r>
      <w:r w:rsidRPr="007C5358">
        <w:rPr>
          <w:iCs/>
        </w:rPr>
        <w:t>=</w:t>
      </w:r>
      <w:r w:rsidRPr="007C5358">
        <w:rPr>
          <w:iCs/>
        </w:rPr>
        <w:tab/>
        <w:t>inflow of water into waterbody (m3/d),</w:t>
      </w:r>
    </w:p>
    <w:p w:rsidR="00D91403" w:rsidRPr="007C5358" w:rsidRDefault="00D91403" w:rsidP="00D91403">
      <w:pPr>
        <w:widowControl/>
        <w:tabs>
          <w:tab w:val="left" w:pos="-1440"/>
        </w:tabs>
        <w:ind w:left="2880" w:hanging="2160"/>
        <w:rPr>
          <w:iCs/>
        </w:rPr>
      </w:pPr>
      <w:r w:rsidRPr="00DF5FEC">
        <w:rPr>
          <w:i/>
          <w:iCs/>
        </w:rPr>
        <w:t>Discharge</w:t>
      </w:r>
      <w:r w:rsidRPr="002E3F5E">
        <w:rPr>
          <w:i/>
          <w:iCs/>
        </w:rPr>
        <w:tab/>
      </w:r>
      <w:r w:rsidRPr="007C5358">
        <w:rPr>
          <w:iCs/>
        </w:rPr>
        <w:t>=</w:t>
      </w:r>
      <w:r w:rsidRPr="007C5358">
        <w:rPr>
          <w:iCs/>
        </w:rPr>
        <w:tab/>
        <w:t>discharge of water from waterbody (m3/d), and</w:t>
      </w:r>
    </w:p>
    <w:p w:rsidR="00D91403" w:rsidRPr="007C5358" w:rsidRDefault="00D91403" w:rsidP="00D91403">
      <w:pPr>
        <w:widowControl/>
        <w:tabs>
          <w:tab w:val="left" w:pos="-1440"/>
        </w:tabs>
        <w:ind w:left="2880" w:hanging="2160"/>
        <w:rPr>
          <w:iCs/>
        </w:rPr>
      </w:pPr>
      <w:r w:rsidRPr="00DF5FEC">
        <w:rPr>
          <w:i/>
          <w:iCs/>
        </w:rPr>
        <w:t>Evap</w:t>
      </w:r>
      <w:r w:rsidRPr="002E3F5E">
        <w:rPr>
          <w:i/>
          <w:iCs/>
        </w:rPr>
        <w:tab/>
      </w:r>
      <w:r w:rsidRPr="007C5358">
        <w:rPr>
          <w:iCs/>
        </w:rPr>
        <w:t>=</w:t>
      </w:r>
      <w:r w:rsidRPr="007C5358">
        <w:rPr>
          <w:iCs/>
        </w:rPr>
        <w:tab/>
        <w:t xml:space="preserve">evaporation (m3/d), see </w:t>
      </w:r>
      <w:r w:rsidRPr="005E1767">
        <w:rPr>
          <w:b/>
        </w:rPr>
        <w:t>(</w:t>
      </w:r>
      <w:r>
        <w:rPr>
          <w:b/>
          <w:noProof/>
        </w:rPr>
        <w:t>3</w:t>
      </w:r>
      <w:r w:rsidRPr="005E1767">
        <w:rPr>
          <w:b/>
        </w:rPr>
        <w:t>)</w:t>
      </w:r>
      <w:r w:rsidRPr="007C5358">
        <w:rPr>
          <w:iCs/>
        </w:rPr>
        <w:t>.</w:t>
      </w:r>
    </w:p>
    <w:p w:rsidR="00D91403" w:rsidRDefault="00D91403" w:rsidP="00D91403">
      <w:pPr>
        <w:widowControl/>
      </w:pPr>
    </w:p>
    <w:p w:rsidR="00D91403" w:rsidRDefault="00D91403" w:rsidP="00D91403">
      <w:pPr>
        <w:widowControl/>
      </w:pPr>
      <w:r>
        <w:t xml:space="preserve">AQUATOX cannot successfully run if the volume of water in a site falls to zero.  To avoid this condition, if the site’s water volume falls below a minimum value (which is defined as a fraction of the initial condition using the parameter “Minimum Volume </w:t>
      </w:r>
      <w:proofErr w:type="spellStart"/>
      <w:r>
        <w:t>Frac</w:t>
      </w:r>
      <w:proofErr w:type="spellEnd"/>
      <w:r>
        <w:t>.” from the “Site” screen), all differentiation of state variables is suspended (except for the water volume derivative) until the water volume again moves above the minimum value.  Differentiation of all state variables then resumes.</w:t>
      </w:r>
    </w:p>
    <w:p w:rsidR="00D91403" w:rsidRPr="00DF5FEC" w:rsidRDefault="00D91403" w:rsidP="00D91403">
      <w:pPr>
        <w:widowControl/>
      </w:pPr>
    </w:p>
    <w:p w:rsidR="00D91403" w:rsidRDefault="00D91403" w:rsidP="00D91403">
      <w:pPr>
        <w:widowControl/>
      </w:pPr>
      <w:r>
        <w:t>A time series of evaporation may be entered in the “Site” screen in units of cubic meters per day.  Otherwise, e</w:t>
      </w:r>
      <w:r w:rsidRPr="00DF5FEC">
        <w:t>vaporation is converted from an annual value for the site to a daily value using the simple relationship:</w:t>
      </w:r>
    </w:p>
    <w:p w:rsidR="00D91403" w:rsidRPr="00DF5FEC" w:rsidRDefault="00D91403" w:rsidP="00D91403">
      <w:pPr>
        <w:widowControl/>
      </w:pPr>
    </w:p>
    <w:p w:rsidR="00D91403" w:rsidRPr="00DF5FEC" w:rsidRDefault="00D91403" w:rsidP="00D91403">
      <w:pPr>
        <w:tabs>
          <w:tab w:val="center" w:pos="4680"/>
          <w:tab w:val="right" w:pos="9360"/>
        </w:tabs>
        <w:jc w:val="center"/>
      </w:pPr>
      <w:r>
        <w:tab/>
      </w:r>
      <w:r w:rsidRPr="00DF5FEC">
        <w:rPr>
          <w:position w:val="-24"/>
        </w:rPr>
        <w:pict>
          <v:shape id="_x0000_i1029" type="#_x0000_t75" style="width:166.15pt;height:30.85pt">
            <v:imagedata r:id="rId7" o:title=""/>
          </v:shape>
        </w:pict>
      </w:r>
      <w:r>
        <w:tab/>
      </w:r>
      <w:bookmarkStart w:id="3" w:name="Evap"/>
      <w:r w:rsidRPr="005E1767">
        <w:rPr>
          <w:b/>
        </w:rPr>
        <w:t>(</w:t>
      </w:r>
      <w:r>
        <w:rPr>
          <w:b/>
          <w:noProof/>
        </w:rPr>
        <w:t>3</w:t>
      </w:r>
      <w:r w:rsidRPr="005E1767">
        <w:rPr>
          <w:b/>
        </w:rPr>
        <w:t>)</w:t>
      </w:r>
      <w:bookmarkEnd w:id="3"/>
      <w:r>
        <w:tab/>
      </w:r>
    </w:p>
    <w:p w:rsidR="00D91403" w:rsidRDefault="00D91403" w:rsidP="00D91403">
      <w:pPr>
        <w:widowControl/>
      </w:pPr>
      <w:proofErr w:type="gramStart"/>
      <w:r w:rsidRPr="00DF5FEC">
        <w:t>where</w:t>
      </w:r>
      <w:proofErr w:type="gramEnd"/>
      <w:r w:rsidRPr="00DF5FEC">
        <w:t>:</w:t>
      </w:r>
    </w:p>
    <w:p w:rsidR="00D91403" w:rsidRPr="00DF5FEC" w:rsidRDefault="00D91403" w:rsidP="00D91403">
      <w:pPr>
        <w:widowControl/>
      </w:pPr>
      <w:r>
        <w:tab/>
      </w:r>
      <w:r w:rsidRPr="00D319E6">
        <w:rPr>
          <w:i/>
        </w:rPr>
        <w:t>Evap</w:t>
      </w:r>
      <w:r>
        <w:tab/>
      </w:r>
      <w:r>
        <w:tab/>
      </w:r>
      <w:r>
        <w:tab/>
      </w:r>
      <w:r>
        <w:tab/>
        <w:t xml:space="preserve">= </w:t>
      </w:r>
      <w:r>
        <w:tab/>
      </w:r>
      <w:r w:rsidRPr="007C5358">
        <w:rPr>
          <w:iCs/>
        </w:rPr>
        <w:t xml:space="preserve">mean </w:t>
      </w:r>
      <w:r>
        <w:rPr>
          <w:iCs/>
        </w:rPr>
        <w:t xml:space="preserve">daily </w:t>
      </w:r>
      <w:r w:rsidRPr="007C5358">
        <w:rPr>
          <w:iCs/>
        </w:rPr>
        <w:t>evaporation</w:t>
      </w:r>
      <w:r>
        <w:rPr>
          <w:iCs/>
        </w:rPr>
        <w:t xml:space="preserve"> (m</w:t>
      </w:r>
      <w:r w:rsidRPr="00CC40C7">
        <w:rPr>
          <w:iCs/>
          <w:vertAlign w:val="superscript"/>
        </w:rPr>
        <w:t>3</w:t>
      </w:r>
      <w:r>
        <w:rPr>
          <w:iCs/>
        </w:rPr>
        <w:t>/d</w:t>
      </w:r>
      <w:r>
        <w:t>)</w:t>
      </w:r>
    </w:p>
    <w:p w:rsidR="00D91403" w:rsidRPr="007C5358" w:rsidRDefault="00D91403" w:rsidP="00D91403">
      <w:pPr>
        <w:widowControl/>
        <w:tabs>
          <w:tab w:val="left" w:pos="-1440"/>
        </w:tabs>
        <w:ind w:left="2880" w:hanging="2160"/>
        <w:rPr>
          <w:iCs/>
        </w:rPr>
      </w:pPr>
      <w:proofErr w:type="spellStart"/>
      <w:r w:rsidRPr="00DF5FEC">
        <w:rPr>
          <w:i/>
          <w:iCs/>
        </w:rPr>
        <w:t>MeanEvap</w:t>
      </w:r>
      <w:proofErr w:type="spellEnd"/>
      <w:r w:rsidRPr="002E3F5E">
        <w:rPr>
          <w:i/>
          <w:iCs/>
        </w:rPr>
        <w:tab/>
      </w:r>
      <w:r>
        <w:rPr>
          <w:i/>
          <w:iCs/>
        </w:rPr>
        <w:tab/>
      </w:r>
      <w:r w:rsidRPr="007C5358">
        <w:rPr>
          <w:iCs/>
        </w:rPr>
        <w:t>=</w:t>
      </w:r>
      <w:r w:rsidRPr="007C5358">
        <w:rPr>
          <w:iCs/>
        </w:rPr>
        <w:tab/>
        <w:t>mean annual evaporation (in/</w:t>
      </w:r>
      <w:proofErr w:type="spellStart"/>
      <w:r w:rsidRPr="007C5358">
        <w:rPr>
          <w:iCs/>
        </w:rPr>
        <w:t>yr</w:t>
      </w:r>
      <w:proofErr w:type="spellEnd"/>
      <w:r w:rsidRPr="007C5358">
        <w:rPr>
          <w:iCs/>
        </w:rPr>
        <w:t>),</w:t>
      </w:r>
    </w:p>
    <w:p w:rsidR="00D91403" w:rsidRPr="007C5358" w:rsidRDefault="00D91403" w:rsidP="00D91403">
      <w:pPr>
        <w:widowControl/>
        <w:tabs>
          <w:tab w:val="left" w:pos="-1440"/>
        </w:tabs>
        <w:ind w:left="2880" w:hanging="2160"/>
        <w:rPr>
          <w:iCs/>
        </w:rPr>
      </w:pPr>
      <w:r w:rsidRPr="002E3F5E">
        <w:rPr>
          <w:i/>
          <w:iCs/>
        </w:rPr>
        <w:t>365</w:t>
      </w:r>
      <w:r w:rsidRPr="002E3F5E">
        <w:rPr>
          <w:i/>
          <w:iCs/>
        </w:rPr>
        <w:tab/>
      </w:r>
      <w:r w:rsidRPr="002E3F5E">
        <w:rPr>
          <w:i/>
          <w:iCs/>
        </w:rPr>
        <w:tab/>
      </w:r>
      <w:r w:rsidRPr="007C5358">
        <w:rPr>
          <w:iCs/>
        </w:rPr>
        <w:t>=</w:t>
      </w:r>
      <w:r w:rsidRPr="007C5358">
        <w:rPr>
          <w:iCs/>
        </w:rPr>
        <w:tab/>
        <w:t>days per year (d/</w:t>
      </w:r>
      <w:proofErr w:type="spellStart"/>
      <w:r w:rsidRPr="007C5358">
        <w:rPr>
          <w:iCs/>
        </w:rPr>
        <w:t>yr</w:t>
      </w:r>
      <w:proofErr w:type="spellEnd"/>
      <w:r w:rsidRPr="007C5358">
        <w:rPr>
          <w:iCs/>
        </w:rPr>
        <w:t>),</w:t>
      </w:r>
    </w:p>
    <w:p w:rsidR="00D91403" w:rsidRPr="007C5358" w:rsidRDefault="00D91403" w:rsidP="00D91403">
      <w:pPr>
        <w:widowControl/>
        <w:tabs>
          <w:tab w:val="left" w:pos="-1440"/>
        </w:tabs>
        <w:ind w:left="2880" w:hanging="2160"/>
        <w:rPr>
          <w:iCs/>
        </w:rPr>
      </w:pPr>
      <w:r w:rsidRPr="002E3F5E">
        <w:rPr>
          <w:i/>
          <w:iCs/>
        </w:rPr>
        <w:t>0.0254</w:t>
      </w:r>
      <w:r w:rsidRPr="002E3F5E">
        <w:rPr>
          <w:i/>
          <w:iCs/>
        </w:rPr>
        <w:tab/>
      </w:r>
      <w:r w:rsidRPr="002E3F5E">
        <w:rPr>
          <w:i/>
          <w:iCs/>
        </w:rPr>
        <w:tab/>
      </w:r>
      <w:r w:rsidRPr="007C5358">
        <w:rPr>
          <w:iCs/>
        </w:rPr>
        <w:t>=</w:t>
      </w:r>
      <w:r w:rsidRPr="007C5358">
        <w:rPr>
          <w:iCs/>
        </w:rPr>
        <w:tab/>
        <w:t>conversion from inches to meters (m/in), and</w:t>
      </w:r>
    </w:p>
    <w:p w:rsidR="00D91403" w:rsidRPr="007C5358" w:rsidRDefault="00D91403" w:rsidP="00D91403">
      <w:pPr>
        <w:widowControl/>
        <w:tabs>
          <w:tab w:val="left" w:pos="-1440"/>
        </w:tabs>
        <w:ind w:left="2880" w:hanging="2160"/>
        <w:rPr>
          <w:iCs/>
        </w:rPr>
      </w:pPr>
      <w:r w:rsidRPr="00DF5FEC">
        <w:rPr>
          <w:i/>
          <w:iCs/>
        </w:rPr>
        <w:t>Area</w:t>
      </w:r>
      <w:r w:rsidRPr="002E3F5E">
        <w:rPr>
          <w:i/>
          <w:iCs/>
        </w:rPr>
        <w:tab/>
      </w:r>
      <w:r w:rsidRPr="002E3F5E">
        <w:rPr>
          <w:i/>
          <w:iCs/>
        </w:rPr>
        <w:tab/>
      </w:r>
      <w:r w:rsidRPr="007C5358">
        <w:rPr>
          <w:iCs/>
        </w:rPr>
        <w:t>=</w:t>
      </w:r>
      <w:r w:rsidRPr="007C5358">
        <w:rPr>
          <w:iCs/>
        </w:rPr>
        <w:tab/>
        <w:t>area of the waterbody (m2).</w:t>
      </w:r>
    </w:p>
    <w:p w:rsidR="00D91403" w:rsidRPr="00DF5FEC" w:rsidRDefault="00D91403" w:rsidP="00D91403">
      <w:pPr>
        <w:widowControl/>
      </w:pPr>
    </w:p>
    <w:p w:rsidR="00D91403" w:rsidRPr="00DF5FEC" w:rsidRDefault="00D91403" w:rsidP="00D91403">
      <w:pPr>
        <w:widowControl/>
      </w:pPr>
      <w:r w:rsidRPr="00DF5FEC">
        <w:t>The user is given several options for computing volume including keeping the volume constant; making the volume a dynamic function of inflow, discharge, and evaporation; using a time series of known values; and, for flowing waters, computing volume as a function of the Manning</w:t>
      </w:r>
      <w:r>
        <w:t>’s</w:t>
      </w:r>
      <w:r w:rsidRPr="00DF5FEC">
        <w:t xml:space="preserve"> equation.  Depending on the method, inflow and discharge are varied, as indicated in </w:t>
      </w:r>
      <w:r w:rsidRPr="00FA5B3A">
        <w:t xml:space="preserve">Table </w:t>
      </w:r>
      <w:r w:rsidRPr="00FA5B3A">
        <w:rPr>
          <w:noProof/>
        </w:rPr>
        <w:t>3</w:t>
      </w:r>
      <w:r w:rsidRPr="000D3E1D">
        <w:t xml:space="preserve">. </w:t>
      </w:r>
      <w:r w:rsidRPr="00DF5FEC">
        <w:t xml:space="preserve"> As shown in equation </w:t>
      </w:r>
      <w:r w:rsidRPr="005E1767">
        <w:rPr>
          <w:b/>
        </w:rPr>
        <w:t>(</w:t>
      </w:r>
      <w:r>
        <w:rPr>
          <w:b/>
          <w:noProof/>
        </w:rPr>
        <w:t>2</w:t>
      </w:r>
      <w:r w:rsidRPr="005E1767">
        <w:rPr>
          <w:b/>
        </w:rPr>
        <w:t>)</w:t>
      </w:r>
      <w:r w:rsidRPr="00DF5FEC">
        <w:t xml:space="preserve">, an evaporation term is present in each of these volume calculation options.  In order to keep the volume constant, given a known inflow loading, evaporation must be subtracted from discharge.  This will reduce the quantity of state variables that wash out of the system.  In the dynamic formulation, evaporation is part of the differential equation, but neither </w:t>
      </w:r>
      <w:r w:rsidRPr="00DF5FEC">
        <w:lastRenderedPageBreak/>
        <w:t>inflow nor discharge is a function of evaporation as they are both entered by the user.  When setting the volume of a water body to a known value, evaporation must again be subtracted from discharge for the volume solution to be correct.  Finally, when using the Manning's volume equation, given a known discharge loading, the effects of evaporation must be added to the inflow loading so that the proper Manning's volume is achieved.  (This could increase the amount of inflow loadings of toxicants and sediments to the system, although not significantly.)</w:t>
      </w:r>
    </w:p>
    <w:p w:rsidR="00D91403" w:rsidRPr="00DF5FEC" w:rsidRDefault="00D91403" w:rsidP="00D91403">
      <w:pPr>
        <w:widowControl/>
      </w:pPr>
    </w:p>
    <w:p w:rsidR="00D91403" w:rsidRDefault="00D91403" w:rsidP="00D91403">
      <w:pPr>
        <w:pStyle w:val="StyleCaptionNotBoldJustified"/>
        <w:jc w:val="center"/>
        <w:rPr>
          <w:b/>
        </w:rPr>
      </w:pPr>
      <w:bookmarkStart w:id="4" w:name="_Ref131133736"/>
      <w:bookmarkStart w:id="5" w:name="_Ref131154452"/>
      <w:proofErr w:type="gramStart"/>
      <w:r w:rsidRPr="00403974">
        <w:rPr>
          <w:b/>
        </w:rPr>
        <w:t xml:space="preserve">Table </w:t>
      </w:r>
      <w:r>
        <w:rPr>
          <w:b/>
          <w:noProof/>
        </w:rPr>
        <w:t>3</w:t>
      </w:r>
      <w:bookmarkEnd w:id="4"/>
      <w:r w:rsidRPr="00403974">
        <w:rPr>
          <w:b/>
        </w:rPr>
        <w:t>.</w:t>
      </w:r>
      <w:proofErr w:type="gramEnd"/>
      <w:r w:rsidRPr="00403974">
        <w:rPr>
          <w:b/>
        </w:rPr>
        <w:t xml:space="preserve">  Computation of Volume, Inflow, and Discharge</w:t>
      </w:r>
      <w:bookmarkEnd w:id="5"/>
    </w:p>
    <w:p w:rsidR="00D91403" w:rsidRPr="00403974" w:rsidRDefault="00D91403" w:rsidP="00D91403">
      <w:pPr>
        <w:pStyle w:val="StyleCaptionNotBoldJustified"/>
        <w:jc w:val="center"/>
        <w:rPr>
          <w:b/>
        </w:rPr>
      </w:pPr>
    </w:p>
    <w:tbl>
      <w:tblPr>
        <w:tblW w:w="0" w:type="auto"/>
        <w:tblInd w:w="120" w:type="dxa"/>
        <w:tblBorders>
          <w:top w:val="single" w:sz="15" w:space="0" w:color="000000"/>
          <w:left w:val="single" w:sz="15" w:space="0" w:color="000000"/>
          <w:bottom w:val="single" w:sz="15" w:space="0" w:color="000000"/>
          <w:right w:val="single" w:sz="15" w:space="0" w:color="000000"/>
          <w:insideH w:val="single" w:sz="7" w:space="0" w:color="000000"/>
          <w:insideV w:val="single" w:sz="7" w:space="0" w:color="000000"/>
        </w:tblBorders>
        <w:tblLayout w:type="fixed"/>
        <w:tblCellMar>
          <w:left w:w="120" w:type="dxa"/>
          <w:right w:w="120" w:type="dxa"/>
        </w:tblCellMar>
        <w:tblLook w:val="0000" w:firstRow="0" w:lastRow="0" w:firstColumn="0" w:lastColumn="0" w:noHBand="0" w:noVBand="0"/>
      </w:tblPr>
      <w:tblGrid>
        <w:gridCol w:w="1530"/>
        <w:gridCol w:w="3960"/>
        <w:gridCol w:w="3870"/>
      </w:tblGrid>
      <w:tr w:rsidR="00D91403" w:rsidRPr="00DF5FEC" w:rsidTr="00F84CC5">
        <w:tblPrEx>
          <w:tblCellMar>
            <w:top w:w="0" w:type="dxa"/>
            <w:bottom w:w="0" w:type="dxa"/>
          </w:tblCellMar>
        </w:tblPrEx>
        <w:tc>
          <w:tcPr>
            <w:tcW w:w="1530" w:type="dxa"/>
            <w:tcBorders>
              <w:top w:val="single" w:sz="15" w:space="0" w:color="000000"/>
              <w:left w:val="single" w:sz="15" w:space="0" w:color="000000"/>
              <w:bottom w:val="single" w:sz="15" w:space="0" w:color="000000"/>
              <w:right w:val="single" w:sz="7" w:space="0" w:color="000000"/>
            </w:tcBorders>
          </w:tcPr>
          <w:p w:rsidR="00D91403" w:rsidRPr="00DF5FEC" w:rsidRDefault="00D91403" w:rsidP="00F84CC5">
            <w:pPr>
              <w:spacing w:line="120" w:lineRule="exact"/>
            </w:pPr>
          </w:p>
          <w:p w:rsidR="00D91403" w:rsidRPr="00DF5FEC" w:rsidRDefault="00D91403" w:rsidP="00F84CC5">
            <w:pPr>
              <w:widowControl/>
              <w:spacing w:after="58"/>
              <w:jc w:val="center"/>
              <w:rPr>
                <w:b/>
                <w:bCs/>
              </w:rPr>
            </w:pPr>
            <w:r w:rsidRPr="00DF5FEC">
              <w:rPr>
                <w:b/>
                <w:bCs/>
              </w:rPr>
              <w:t>Method</w:t>
            </w:r>
          </w:p>
        </w:tc>
        <w:tc>
          <w:tcPr>
            <w:tcW w:w="3960" w:type="dxa"/>
            <w:tcBorders>
              <w:top w:val="single" w:sz="15" w:space="0" w:color="000000"/>
              <w:left w:val="single" w:sz="7" w:space="0" w:color="000000"/>
              <w:bottom w:val="single" w:sz="15" w:space="0" w:color="000000"/>
              <w:right w:val="single" w:sz="7" w:space="0" w:color="000000"/>
            </w:tcBorders>
          </w:tcPr>
          <w:p w:rsidR="00D91403" w:rsidRPr="00DF5FEC" w:rsidRDefault="00D91403" w:rsidP="00F84CC5">
            <w:pPr>
              <w:spacing w:line="120" w:lineRule="exact"/>
              <w:rPr>
                <w:b/>
                <w:bCs/>
              </w:rPr>
            </w:pPr>
          </w:p>
          <w:p w:rsidR="00D91403" w:rsidRPr="00DF5FEC" w:rsidRDefault="00D91403" w:rsidP="00F84CC5">
            <w:pPr>
              <w:widowControl/>
              <w:spacing w:after="58"/>
              <w:jc w:val="center"/>
              <w:rPr>
                <w:b/>
                <w:bCs/>
              </w:rPr>
            </w:pPr>
            <w:r w:rsidRPr="00DF5FEC">
              <w:rPr>
                <w:b/>
                <w:bCs/>
              </w:rPr>
              <w:t>Inflow</w:t>
            </w:r>
          </w:p>
        </w:tc>
        <w:tc>
          <w:tcPr>
            <w:tcW w:w="3870" w:type="dxa"/>
            <w:tcBorders>
              <w:top w:val="single" w:sz="15" w:space="0" w:color="000000"/>
              <w:left w:val="single" w:sz="7" w:space="0" w:color="000000"/>
              <w:bottom w:val="single" w:sz="15" w:space="0" w:color="000000"/>
              <w:right w:val="single" w:sz="15" w:space="0" w:color="000000"/>
            </w:tcBorders>
          </w:tcPr>
          <w:p w:rsidR="00D91403" w:rsidRPr="00DF5FEC" w:rsidRDefault="00D91403" w:rsidP="00F84CC5">
            <w:pPr>
              <w:spacing w:line="120" w:lineRule="exact"/>
              <w:rPr>
                <w:b/>
                <w:bCs/>
              </w:rPr>
            </w:pPr>
          </w:p>
          <w:p w:rsidR="00D91403" w:rsidRPr="00DF5FEC" w:rsidRDefault="00D91403" w:rsidP="00F84CC5">
            <w:pPr>
              <w:widowControl/>
              <w:spacing w:after="58"/>
              <w:jc w:val="center"/>
              <w:rPr>
                <w:b/>
                <w:bCs/>
              </w:rPr>
            </w:pPr>
            <w:r w:rsidRPr="00DF5FEC">
              <w:rPr>
                <w:b/>
                <w:bCs/>
              </w:rPr>
              <w:t>Discharge</w:t>
            </w:r>
          </w:p>
        </w:tc>
      </w:tr>
      <w:tr w:rsidR="00D91403" w:rsidRPr="00DF5FEC" w:rsidTr="00F84CC5">
        <w:tblPrEx>
          <w:tblCellMar>
            <w:top w:w="0" w:type="dxa"/>
            <w:bottom w:w="0" w:type="dxa"/>
          </w:tblCellMar>
        </w:tblPrEx>
        <w:tc>
          <w:tcPr>
            <w:tcW w:w="1530" w:type="dxa"/>
            <w:tcBorders>
              <w:top w:val="single" w:sz="7" w:space="0" w:color="000000"/>
              <w:left w:val="single" w:sz="15" w:space="0" w:color="000000"/>
              <w:bottom w:val="single" w:sz="7" w:space="0" w:color="000000"/>
              <w:right w:val="single" w:sz="7" w:space="0" w:color="000000"/>
            </w:tcBorders>
          </w:tcPr>
          <w:p w:rsidR="00D91403" w:rsidRPr="00DF5FEC" w:rsidRDefault="00D91403" w:rsidP="00F84CC5">
            <w:pPr>
              <w:spacing w:line="120" w:lineRule="exact"/>
              <w:rPr>
                <w:b/>
                <w:bCs/>
              </w:rPr>
            </w:pPr>
          </w:p>
          <w:p w:rsidR="00D91403" w:rsidRPr="00DF5FEC" w:rsidRDefault="00D91403" w:rsidP="00F84CC5">
            <w:pPr>
              <w:widowControl/>
              <w:spacing w:after="58"/>
            </w:pPr>
            <w:r w:rsidRPr="00DF5FEC">
              <w:rPr>
                <w:sz w:val="22"/>
                <w:szCs w:val="22"/>
              </w:rPr>
              <w:t>Constant</w:t>
            </w:r>
          </w:p>
        </w:tc>
        <w:tc>
          <w:tcPr>
            <w:tcW w:w="3960" w:type="dxa"/>
            <w:tcBorders>
              <w:top w:val="single" w:sz="7" w:space="0" w:color="000000"/>
              <w:left w:val="single" w:sz="7" w:space="0" w:color="000000"/>
              <w:bottom w:val="single" w:sz="7" w:space="0" w:color="000000"/>
              <w:right w:val="single" w:sz="7" w:space="0" w:color="000000"/>
            </w:tcBorders>
          </w:tcPr>
          <w:p w:rsidR="00D91403" w:rsidRPr="00DF5FEC" w:rsidRDefault="00D91403" w:rsidP="00F84CC5">
            <w:pPr>
              <w:spacing w:line="120" w:lineRule="exact"/>
            </w:pPr>
          </w:p>
          <w:p w:rsidR="00D91403" w:rsidRPr="00DF5FEC" w:rsidRDefault="00D91403" w:rsidP="00F84CC5">
            <w:pPr>
              <w:widowControl/>
              <w:spacing w:after="58"/>
              <w:rPr>
                <w:i/>
                <w:iCs/>
                <w:sz w:val="20"/>
                <w:szCs w:val="20"/>
              </w:rPr>
            </w:pPr>
            <w:proofErr w:type="spellStart"/>
            <w:r w:rsidRPr="00DF5FEC">
              <w:rPr>
                <w:i/>
                <w:iCs/>
                <w:sz w:val="20"/>
                <w:szCs w:val="20"/>
              </w:rPr>
              <w:t>InflowLoad</w:t>
            </w:r>
            <w:proofErr w:type="spellEnd"/>
          </w:p>
        </w:tc>
        <w:tc>
          <w:tcPr>
            <w:tcW w:w="3870" w:type="dxa"/>
            <w:tcBorders>
              <w:top w:val="single" w:sz="7" w:space="0" w:color="000000"/>
              <w:left w:val="single" w:sz="7" w:space="0" w:color="000000"/>
              <w:bottom w:val="single" w:sz="7" w:space="0" w:color="000000"/>
              <w:right w:val="single" w:sz="15" w:space="0" w:color="000000"/>
            </w:tcBorders>
          </w:tcPr>
          <w:p w:rsidR="00D91403" w:rsidRPr="00DF5FEC" w:rsidRDefault="00D91403" w:rsidP="00F84CC5">
            <w:pPr>
              <w:spacing w:line="120" w:lineRule="exact"/>
              <w:rPr>
                <w:i/>
                <w:iCs/>
                <w:sz w:val="20"/>
                <w:szCs w:val="20"/>
              </w:rPr>
            </w:pPr>
          </w:p>
          <w:p w:rsidR="00D91403" w:rsidRPr="00DF5FEC" w:rsidRDefault="00D91403" w:rsidP="00F84CC5">
            <w:pPr>
              <w:widowControl/>
              <w:spacing w:after="58"/>
              <w:rPr>
                <w:i/>
                <w:iCs/>
              </w:rPr>
            </w:pPr>
            <w:proofErr w:type="spellStart"/>
            <w:r w:rsidRPr="00DF5FEC">
              <w:rPr>
                <w:i/>
                <w:iCs/>
                <w:sz w:val="20"/>
                <w:szCs w:val="20"/>
              </w:rPr>
              <w:t>InflowLoad</w:t>
            </w:r>
            <w:proofErr w:type="spellEnd"/>
            <w:r w:rsidRPr="00DF5FEC">
              <w:rPr>
                <w:i/>
                <w:iCs/>
                <w:sz w:val="20"/>
                <w:szCs w:val="20"/>
              </w:rPr>
              <w:t xml:space="preserve"> - Evap</w:t>
            </w:r>
          </w:p>
        </w:tc>
      </w:tr>
      <w:tr w:rsidR="00D91403" w:rsidRPr="00DF5FEC" w:rsidTr="00F84CC5">
        <w:tblPrEx>
          <w:tblCellMar>
            <w:top w:w="0" w:type="dxa"/>
            <w:bottom w:w="0" w:type="dxa"/>
          </w:tblCellMar>
        </w:tblPrEx>
        <w:tc>
          <w:tcPr>
            <w:tcW w:w="1530" w:type="dxa"/>
            <w:tcBorders>
              <w:top w:val="single" w:sz="7" w:space="0" w:color="000000"/>
              <w:left w:val="single" w:sz="15" w:space="0" w:color="000000"/>
              <w:bottom w:val="single" w:sz="7" w:space="0" w:color="000000"/>
              <w:right w:val="single" w:sz="7" w:space="0" w:color="000000"/>
            </w:tcBorders>
          </w:tcPr>
          <w:p w:rsidR="00D91403" w:rsidRPr="00DF5FEC" w:rsidRDefault="00D91403" w:rsidP="00F84CC5">
            <w:pPr>
              <w:spacing w:line="120" w:lineRule="exact"/>
              <w:rPr>
                <w:i/>
                <w:iCs/>
              </w:rPr>
            </w:pPr>
          </w:p>
          <w:p w:rsidR="00D91403" w:rsidRPr="00DF5FEC" w:rsidRDefault="00D91403" w:rsidP="00F84CC5">
            <w:pPr>
              <w:widowControl/>
              <w:spacing w:after="58"/>
            </w:pPr>
            <w:r w:rsidRPr="00DF5FEC">
              <w:rPr>
                <w:sz w:val="22"/>
                <w:szCs w:val="22"/>
              </w:rPr>
              <w:t>Dynamic</w:t>
            </w:r>
          </w:p>
        </w:tc>
        <w:tc>
          <w:tcPr>
            <w:tcW w:w="3960" w:type="dxa"/>
            <w:tcBorders>
              <w:top w:val="single" w:sz="7" w:space="0" w:color="000000"/>
              <w:left w:val="single" w:sz="7" w:space="0" w:color="000000"/>
              <w:bottom w:val="single" w:sz="7" w:space="0" w:color="000000"/>
              <w:right w:val="single" w:sz="7" w:space="0" w:color="000000"/>
            </w:tcBorders>
          </w:tcPr>
          <w:p w:rsidR="00D91403" w:rsidRPr="00DF5FEC" w:rsidRDefault="00D91403" w:rsidP="00F84CC5">
            <w:pPr>
              <w:spacing w:line="120" w:lineRule="exact"/>
            </w:pPr>
          </w:p>
          <w:p w:rsidR="00D91403" w:rsidRPr="00DF5FEC" w:rsidRDefault="00D91403" w:rsidP="00F84CC5">
            <w:pPr>
              <w:widowControl/>
              <w:spacing w:after="58"/>
              <w:rPr>
                <w:i/>
                <w:iCs/>
                <w:sz w:val="20"/>
                <w:szCs w:val="20"/>
              </w:rPr>
            </w:pPr>
            <w:proofErr w:type="spellStart"/>
            <w:r w:rsidRPr="00DF5FEC">
              <w:rPr>
                <w:i/>
                <w:iCs/>
                <w:sz w:val="20"/>
                <w:szCs w:val="20"/>
              </w:rPr>
              <w:t>InflowLoad</w:t>
            </w:r>
            <w:proofErr w:type="spellEnd"/>
          </w:p>
        </w:tc>
        <w:tc>
          <w:tcPr>
            <w:tcW w:w="3870" w:type="dxa"/>
            <w:tcBorders>
              <w:top w:val="single" w:sz="7" w:space="0" w:color="000000"/>
              <w:left w:val="single" w:sz="7" w:space="0" w:color="000000"/>
              <w:bottom w:val="single" w:sz="7" w:space="0" w:color="000000"/>
              <w:right w:val="single" w:sz="15" w:space="0" w:color="000000"/>
            </w:tcBorders>
          </w:tcPr>
          <w:p w:rsidR="00D91403" w:rsidRPr="00DF5FEC" w:rsidRDefault="00D91403" w:rsidP="00F84CC5">
            <w:pPr>
              <w:spacing w:line="120" w:lineRule="exact"/>
              <w:rPr>
                <w:i/>
                <w:iCs/>
                <w:sz w:val="20"/>
                <w:szCs w:val="20"/>
              </w:rPr>
            </w:pPr>
          </w:p>
          <w:p w:rsidR="00D91403" w:rsidRPr="00DF5FEC" w:rsidRDefault="00D91403" w:rsidP="00F84CC5">
            <w:pPr>
              <w:widowControl/>
              <w:spacing w:after="58"/>
              <w:rPr>
                <w:i/>
                <w:iCs/>
              </w:rPr>
            </w:pPr>
            <w:proofErr w:type="spellStart"/>
            <w:r w:rsidRPr="00DF5FEC">
              <w:rPr>
                <w:i/>
                <w:iCs/>
                <w:sz w:val="20"/>
                <w:szCs w:val="20"/>
              </w:rPr>
              <w:t>DischargeLoad</w:t>
            </w:r>
            <w:proofErr w:type="spellEnd"/>
          </w:p>
        </w:tc>
      </w:tr>
      <w:tr w:rsidR="00D91403" w:rsidRPr="00DF5FEC" w:rsidTr="00F84CC5">
        <w:tblPrEx>
          <w:tblCellMar>
            <w:top w:w="0" w:type="dxa"/>
            <w:bottom w:w="0" w:type="dxa"/>
          </w:tblCellMar>
        </w:tblPrEx>
        <w:tc>
          <w:tcPr>
            <w:tcW w:w="1530" w:type="dxa"/>
            <w:tcBorders>
              <w:top w:val="single" w:sz="7" w:space="0" w:color="000000"/>
              <w:left w:val="single" w:sz="15" w:space="0" w:color="000000"/>
              <w:bottom w:val="single" w:sz="7" w:space="0" w:color="000000"/>
              <w:right w:val="single" w:sz="7" w:space="0" w:color="000000"/>
            </w:tcBorders>
          </w:tcPr>
          <w:p w:rsidR="00D91403" w:rsidRPr="00DF5FEC" w:rsidRDefault="00D91403" w:rsidP="00F84CC5">
            <w:pPr>
              <w:spacing w:line="120" w:lineRule="exact"/>
              <w:rPr>
                <w:i/>
                <w:iCs/>
              </w:rPr>
            </w:pPr>
          </w:p>
          <w:p w:rsidR="00D91403" w:rsidRPr="00DF5FEC" w:rsidRDefault="00D91403" w:rsidP="00F84CC5">
            <w:pPr>
              <w:widowControl/>
              <w:spacing w:after="58"/>
            </w:pPr>
            <w:r w:rsidRPr="00DF5FEC">
              <w:rPr>
                <w:sz w:val="22"/>
                <w:szCs w:val="22"/>
              </w:rPr>
              <w:t>Known values</w:t>
            </w:r>
          </w:p>
        </w:tc>
        <w:tc>
          <w:tcPr>
            <w:tcW w:w="3960" w:type="dxa"/>
            <w:tcBorders>
              <w:top w:val="single" w:sz="7" w:space="0" w:color="000000"/>
              <w:left w:val="single" w:sz="7" w:space="0" w:color="000000"/>
              <w:bottom w:val="single" w:sz="7" w:space="0" w:color="000000"/>
              <w:right w:val="single" w:sz="7" w:space="0" w:color="000000"/>
            </w:tcBorders>
          </w:tcPr>
          <w:p w:rsidR="00D91403" w:rsidRPr="00DF5FEC" w:rsidRDefault="00D91403" w:rsidP="00F84CC5">
            <w:pPr>
              <w:spacing w:line="120" w:lineRule="exact"/>
            </w:pPr>
          </w:p>
          <w:p w:rsidR="00D91403" w:rsidRPr="00DF5FEC" w:rsidRDefault="00D91403" w:rsidP="00F84CC5">
            <w:pPr>
              <w:widowControl/>
              <w:spacing w:after="58"/>
              <w:rPr>
                <w:i/>
                <w:iCs/>
                <w:sz w:val="20"/>
                <w:szCs w:val="20"/>
              </w:rPr>
            </w:pPr>
            <w:proofErr w:type="spellStart"/>
            <w:r w:rsidRPr="00DF5FEC">
              <w:rPr>
                <w:i/>
                <w:iCs/>
                <w:sz w:val="20"/>
                <w:szCs w:val="20"/>
              </w:rPr>
              <w:t>InflowLoad</w:t>
            </w:r>
            <w:proofErr w:type="spellEnd"/>
          </w:p>
        </w:tc>
        <w:tc>
          <w:tcPr>
            <w:tcW w:w="3870" w:type="dxa"/>
            <w:tcBorders>
              <w:top w:val="single" w:sz="7" w:space="0" w:color="000000"/>
              <w:left w:val="single" w:sz="7" w:space="0" w:color="000000"/>
              <w:bottom w:val="single" w:sz="7" w:space="0" w:color="000000"/>
              <w:right w:val="single" w:sz="15" w:space="0" w:color="000000"/>
            </w:tcBorders>
          </w:tcPr>
          <w:p w:rsidR="00D91403" w:rsidRPr="00DF5FEC" w:rsidRDefault="00D91403" w:rsidP="00F84CC5">
            <w:pPr>
              <w:spacing w:line="120" w:lineRule="exact"/>
              <w:rPr>
                <w:i/>
                <w:iCs/>
                <w:sz w:val="20"/>
                <w:szCs w:val="20"/>
              </w:rPr>
            </w:pPr>
          </w:p>
          <w:p w:rsidR="00D91403" w:rsidRPr="00DF5FEC" w:rsidRDefault="00D91403" w:rsidP="00F84CC5">
            <w:pPr>
              <w:widowControl/>
              <w:spacing w:after="58"/>
              <w:rPr>
                <w:i/>
                <w:iCs/>
              </w:rPr>
            </w:pPr>
            <w:proofErr w:type="spellStart"/>
            <w:r w:rsidRPr="00DF5FEC">
              <w:rPr>
                <w:i/>
                <w:iCs/>
                <w:sz w:val="20"/>
                <w:szCs w:val="20"/>
              </w:rPr>
              <w:t>InflowLoad</w:t>
            </w:r>
            <w:proofErr w:type="spellEnd"/>
            <w:r w:rsidRPr="00DF5FEC">
              <w:rPr>
                <w:i/>
                <w:iCs/>
                <w:sz w:val="20"/>
                <w:szCs w:val="20"/>
              </w:rPr>
              <w:t xml:space="preserve"> - Evap + (State - </w:t>
            </w:r>
            <w:proofErr w:type="spellStart"/>
            <w:r w:rsidRPr="00DF5FEC">
              <w:rPr>
                <w:i/>
                <w:iCs/>
                <w:sz w:val="20"/>
                <w:szCs w:val="20"/>
              </w:rPr>
              <w:t>KnownVals</w:t>
            </w:r>
            <w:proofErr w:type="spellEnd"/>
            <w:r w:rsidRPr="00DF5FEC">
              <w:rPr>
                <w:i/>
                <w:iCs/>
                <w:sz w:val="20"/>
                <w:szCs w:val="20"/>
              </w:rPr>
              <w:t>)/</w:t>
            </w:r>
            <w:proofErr w:type="spellStart"/>
            <w:r w:rsidRPr="00DF5FEC">
              <w:rPr>
                <w:i/>
                <w:iCs/>
                <w:sz w:val="20"/>
                <w:szCs w:val="20"/>
              </w:rPr>
              <w:t>dt</w:t>
            </w:r>
            <w:proofErr w:type="spellEnd"/>
          </w:p>
        </w:tc>
      </w:tr>
      <w:tr w:rsidR="00D91403" w:rsidRPr="00DF5FEC" w:rsidTr="00F84CC5">
        <w:tblPrEx>
          <w:tblCellMar>
            <w:top w:w="0" w:type="dxa"/>
            <w:bottom w:w="0" w:type="dxa"/>
          </w:tblCellMar>
        </w:tblPrEx>
        <w:tc>
          <w:tcPr>
            <w:tcW w:w="1530" w:type="dxa"/>
            <w:tcBorders>
              <w:top w:val="single" w:sz="7" w:space="0" w:color="000000"/>
              <w:left w:val="single" w:sz="15" w:space="0" w:color="000000"/>
              <w:bottom w:val="single" w:sz="15" w:space="0" w:color="000000"/>
              <w:right w:val="single" w:sz="7" w:space="0" w:color="000000"/>
            </w:tcBorders>
          </w:tcPr>
          <w:p w:rsidR="00D91403" w:rsidRPr="00DF5FEC" w:rsidRDefault="00D91403" w:rsidP="00F84CC5">
            <w:pPr>
              <w:spacing w:line="120" w:lineRule="exact"/>
              <w:rPr>
                <w:i/>
                <w:iCs/>
              </w:rPr>
            </w:pPr>
          </w:p>
          <w:p w:rsidR="00D91403" w:rsidRPr="00DF5FEC" w:rsidRDefault="00D91403" w:rsidP="00F84CC5">
            <w:pPr>
              <w:widowControl/>
              <w:spacing w:after="58"/>
            </w:pPr>
            <w:r w:rsidRPr="00DF5FEC">
              <w:rPr>
                <w:sz w:val="22"/>
                <w:szCs w:val="22"/>
              </w:rPr>
              <w:t>Manning</w:t>
            </w:r>
          </w:p>
        </w:tc>
        <w:tc>
          <w:tcPr>
            <w:tcW w:w="3960" w:type="dxa"/>
            <w:tcBorders>
              <w:top w:val="single" w:sz="7" w:space="0" w:color="000000"/>
              <w:left w:val="single" w:sz="7" w:space="0" w:color="000000"/>
              <w:bottom w:val="single" w:sz="15" w:space="0" w:color="000000"/>
              <w:right w:val="single" w:sz="7" w:space="0" w:color="000000"/>
            </w:tcBorders>
          </w:tcPr>
          <w:p w:rsidR="00D91403" w:rsidRPr="00DF5FEC" w:rsidRDefault="00D91403" w:rsidP="00F84CC5">
            <w:pPr>
              <w:spacing w:line="120" w:lineRule="exact"/>
            </w:pPr>
          </w:p>
          <w:p w:rsidR="00D91403" w:rsidRPr="00DF5FEC" w:rsidRDefault="00D91403" w:rsidP="00F84CC5">
            <w:pPr>
              <w:widowControl/>
              <w:spacing w:after="58"/>
              <w:rPr>
                <w:i/>
                <w:iCs/>
                <w:sz w:val="20"/>
                <w:szCs w:val="20"/>
              </w:rPr>
            </w:pPr>
            <w:proofErr w:type="spellStart"/>
            <w:r w:rsidRPr="00DF5FEC">
              <w:rPr>
                <w:i/>
                <w:iCs/>
                <w:sz w:val="18"/>
                <w:szCs w:val="18"/>
              </w:rPr>
              <w:t>ManningVol</w:t>
            </w:r>
            <w:proofErr w:type="spellEnd"/>
            <w:r w:rsidRPr="00DF5FEC">
              <w:rPr>
                <w:i/>
                <w:iCs/>
                <w:sz w:val="18"/>
                <w:szCs w:val="18"/>
              </w:rPr>
              <w:t xml:space="preserve"> - State/</w:t>
            </w:r>
            <w:proofErr w:type="spellStart"/>
            <w:r w:rsidRPr="00DF5FEC">
              <w:rPr>
                <w:i/>
                <w:iCs/>
                <w:sz w:val="18"/>
                <w:szCs w:val="18"/>
              </w:rPr>
              <w:t>dt</w:t>
            </w:r>
            <w:proofErr w:type="spellEnd"/>
            <w:r w:rsidRPr="00DF5FEC">
              <w:rPr>
                <w:i/>
                <w:iCs/>
                <w:sz w:val="18"/>
                <w:szCs w:val="18"/>
              </w:rPr>
              <w:t xml:space="preserve"> + Discharge + Evap</w:t>
            </w:r>
          </w:p>
        </w:tc>
        <w:tc>
          <w:tcPr>
            <w:tcW w:w="3870" w:type="dxa"/>
            <w:tcBorders>
              <w:top w:val="single" w:sz="7" w:space="0" w:color="000000"/>
              <w:left w:val="single" w:sz="7" w:space="0" w:color="000000"/>
              <w:bottom w:val="single" w:sz="15" w:space="0" w:color="000000"/>
              <w:right w:val="single" w:sz="15" w:space="0" w:color="000000"/>
            </w:tcBorders>
          </w:tcPr>
          <w:p w:rsidR="00D91403" w:rsidRPr="00DF5FEC" w:rsidRDefault="00D91403" w:rsidP="00F84CC5">
            <w:pPr>
              <w:spacing w:line="120" w:lineRule="exact"/>
              <w:rPr>
                <w:i/>
                <w:iCs/>
                <w:sz w:val="20"/>
                <w:szCs w:val="20"/>
              </w:rPr>
            </w:pPr>
          </w:p>
          <w:p w:rsidR="00D91403" w:rsidRPr="00DF5FEC" w:rsidRDefault="00D91403" w:rsidP="00F84CC5">
            <w:pPr>
              <w:widowControl/>
              <w:spacing w:after="58"/>
              <w:rPr>
                <w:i/>
                <w:iCs/>
              </w:rPr>
            </w:pPr>
            <w:proofErr w:type="spellStart"/>
            <w:r w:rsidRPr="00DF5FEC">
              <w:rPr>
                <w:i/>
                <w:iCs/>
                <w:sz w:val="20"/>
                <w:szCs w:val="20"/>
              </w:rPr>
              <w:t>DischargeLoad</w:t>
            </w:r>
            <w:proofErr w:type="spellEnd"/>
          </w:p>
        </w:tc>
      </w:tr>
    </w:tbl>
    <w:p w:rsidR="00D91403" w:rsidRPr="00DF5FEC" w:rsidRDefault="00D91403" w:rsidP="00D91403">
      <w:pPr>
        <w:widowControl/>
      </w:pPr>
    </w:p>
    <w:p w:rsidR="00D91403" w:rsidRDefault="00D91403" w:rsidP="00D91403">
      <w:pPr>
        <w:pStyle w:val="Closing"/>
        <w:ind w:left="0"/>
      </w:pPr>
      <w:r w:rsidRPr="00DF5FEC">
        <w:t>The variables are defined as:</w:t>
      </w:r>
    </w:p>
    <w:p w:rsidR="00D91403" w:rsidRPr="00DF5FEC" w:rsidRDefault="00D91403" w:rsidP="00D91403">
      <w:pPr>
        <w:widowControl/>
      </w:pPr>
    </w:p>
    <w:p w:rsidR="00D91403" w:rsidRPr="007C5358" w:rsidRDefault="00D91403" w:rsidP="00D91403">
      <w:pPr>
        <w:widowControl/>
        <w:tabs>
          <w:tab w:val="left" w:pos="-1440"/>
        </w:tabs>
        <w:ind w:left="2880" w:hanging="2160"/>
        <w:rPr>
          <w:iCs/>
        </w:rPr>
      </w:pPr>
      <w:proofErr w:type="spellStart"/>
      <w:r w:rsidRPr="00DF5FEC">
        <w:rPr>
          <w:i/>
          <w:iCs/>
        </w:rPr>
        <w:t>InflowLoad</w:t>
      </w:r>
      <w:proofErr w:type="spellEnd"/>
      <w:r w:rsidRPr="002E3F5E">
        <w:rPr>
          <w:i/>
          <w:iCs/>
        </w:rPr>
        <w:tab/>
      </w:r>
      <w:r w:rsidRPr="002E3F5E">
        <w:rPr>
          <w:i/>
          <w:iCs/>
        </w:rPr>
        <w:tab/>
      </w:r>
      <w:r w:rsidRPr="007C5358">
        <w:rPr>
          <w:iCs/>
        </w:rPr>
        <w:t>=</w:t>
      </w:r>
      <w:r w:rsidRPr="007C5358">
        <w:rPr>
          <w:iCs/>
        </w:rPr>
        <w:tab/>
        <w:t>user-supplied inflow loading (m</w:t>
      </w:r>
      <w:r w:rsidRPr="00E25079">
        <w:rPr>
          <w:iCs/>
          <w:vertAlign w:val="superscript"/>
        </w:rPr>
        <w:t>3</w:t>
      </w:r>
      <w:r w:rsidRPr="007C5358">
        <w:rPr>
          <w:iCs/>
        </w:rPr>
        <w:t>/d);</w:t>
      </w:r>
    </w:p>
    <w:p w:rsidR="00D91403" w:rsidRPr="007C5358" w:rsidRDefault="00D91403" w:rsidP="00D91403">
      <w:pPr>
        <w:widowControl/>
        <w:tabs>
          <w:tab w:val="left" w:pos="-1440"/>
        </w:tabs>
        <w:ind w:left="2880" w:hanging="2160"/>
        <w:rPr>
          <w:iCs/>
        </w:rPr>
      </w:pPr>
      <w:proofErr w:type="spellStart"/>
      <w:r w:rsidRPr="00DF5FEC">
        <w:rPr>
          <w:i/>
          <w:iCs/>
        </w:rPr>
        <w:t>DischargeLoad</w:t>
      </w:r>
      <w:proofErr w:type="spellEnd"/>
      <w:r w:rsidRPr="002E3F5E">
        <w:rPr>
          <w:i/>
          <w:iCs/>
        </w:rPr>
        <w:tab/>
      </w:r>
      <w:r>
        <w:rPr>
          <w:i/>
          <w:iCs/>
        </w:rPr>
        <w:tab/>
      </w:r>
      <w:r w:rsidRPr="007C5358">
        <w:rPr>
          <w:iCs/>
        </w:rPr>
        <w:t>=</w:t>
      </w:r>
      <w:r w:rsidRPr="007C5358">
        <w:rPr>
          <w:iCs/>
        </w:rPr>
        <w:tab/>
        <w:t>user-supplied discharge loading (m</w:t>
      </w:r>
      <w:r w:rsidRPr="00E25079">
        <w:rPr>
          <w:iCs/>
          <w:vertAlign w:val="superscript"/>
        </w:rPr>
        <w:t>3</w:t>
      </w:r>
      <w:r w:rsidRPr="007C5358">
        <w:rPr>
          <w:iCs/>
        </w:rPr>
        <w:t>/d);</w:t>
      </w:r>
    </w:p>
    <w:p w:rsidR="00D91403" w:rsidRPr="007C5358" w:rsidRDefault="00D91403" w:rsidP="00D91403">
      <w:pPr>
        <w:widowControl/>
        <w:tabs>
          <w:tab w:val="left" w:pos="-1440"/>
        </w:tabs>
        <w:ind w:left="2880" w:hanging="2160"/>
        <w:rPr>
          <w:iCs/>
        </w:rPr>
      </w:pPr>
      <w:r w:rsidRPr="00DF5FEC">
        <w:rPr>
          <w:i/>
          <w:iCs/>
        </w:rPr>
        <w:t>State</w:t>
      </w:r>
      <w:r w:rsidRPr="002E3F5E">
        <w:rPr>
          <w:i/>
          <w:iCs/>
        </w:rPr>
        <w:tab/>
      </w:r>
      <w:r w:rsidRPr="002E3F5E">
        <w:rPr>
          <w:i/>
          <w:iCs/>
        </w:rPr>
        <w:tab/>
      </w:r>
      <w:r w:rsidRPr="007C5358">
        <w:rPr>
          <w:iCs/>
        </w:rPr>
        <w:t>=</w:t>
      </w:r>
      <w:r w:rsidRPr="007C5358">
        <w:rPr>
          <w:iCs/>
        </w:rPr>
        <w:tab/>
        <w:t>computed state variable value for volume (m</w:t>
      </w:r>
      <w:r w:rsidRPr="00E25079">
        <w:rPr>
          <w:iCs/>
          <w:vertAlign w:val="superscript"/>
        </w:rPr>
        <w:t>3</w:t>
      </w:r>
      <w:r w:rsidRPr="007C5358">
        <w:rPr>
          <w:iCs/>
        </w:rPr>
        <w:t>);</w:t>
      </w:r>
    </w:p>
    <w:p w:rsidR="00D91403" w:rsidRPr="007C5358" w:rsidRDefault="00D91403" w:rsidP="00D91403">
      <w:pPr>
        <w:widowControl/>
        <w:tabs>
          <w:tab w:val="left" w:pos="-1440"/>
        </w:tabs>
        <w:ind w:left="2880" w:hanging="2160"/>
        <w:rPr>
          <w:iCs/>
        </w:rPr>
      </w:pPr>
      <w:proofErr w:type="spellStart"/>
      <w:r w:rsidRPr="00DF5FEC">
        <w:rPr>
          <w:i/>
          <w:iCs/>
        </w:rPr>
        <w:t>KnownVals</w:t>
      </w:r>
      <w:proofErr w:type="spellEnd"/>
      <w:r w:rsidRPr="002E3F5E">
        <w:rPr>
          <w:i/>
          <w:iCs/>
        </w:rPr>
        <w:tab/>
      </w:r>
      <w:r w:rsidRPr="002E3F5E">
        <w:rPr>
          <w:i/>
          <w:iCs/>
        </w:rPr>
        <w:tab/>
      </w:r>
      <w:r w:rsidRPr="007C5358">
        <w:rPr>
          <w:iCs/>
        </w:rPr>
        <w:t>=</w:t>
      </w:r>
      <w:r w:rsidRPr="007C5358">
        <w:rPr>
          <w:iCs/>
        </w:rPr>
        <w:tab/>
        <w:t>time series of known values of volume (m</w:t>
      </w:r>
      <w:r w:rsidRPr="00E25079">
        <w:rPr>
          <w:iCs/>
          <w:vertAlign w:val="superscript"/>
        </w:rPr>
        <w:t>3</w:t>
      </w:r>
      <w:r w:rsidRPr="007C5358">
        <w:rPr>
          <w:iCs/>
        </w:rPr>
        <w:t xml:space="preserve">); </w:t>
      </w:r>
    </w:p>
    <w:p w:rsidR="00D91403" w:rsidRPr="007C5358" w:rsidRDefault="00D91403" w:rsidP="00D91403">
      <w:pPr>
        <w:widowControl/>
        <w:tabs>
          <w:tab w:val="left" w:pos="-1440"/>
        </w:tabs>
        <w:ind w:left="2880" w:hanging="2160"/>
        <w:rPr>
          <w:iCs/>
        </w:rPr>
      </w:pPr>
      <w:proofErr w:type="spellStart"/>
      <w:proofErr w:type="gramStart"/>
      <w:r w:rsidRPr="00DF5FEC">
        <w:rPr>
          <w:i/>
          <w:iCs/>
        </w:rPr>
        <w:t>dt</w:t>
      </w:r>
      <w:proofErr w:type="spellEnd"/>
      <w:proofErr w:type="gramEnd"/>
      <w:r w:rsidRPr="002E3F5E">
        <w:rPr>
          <w:i/>
          <w:iCs/>
        </w:rPr>
        <w:tab/>
      </w:r>
      <w:r w:rsidRPr="002E3F5E">
        <w:rPr>
          <w:i/>
          <w:iCs/>
        </w:rPr>
        <w:tab/>
      </w:r>
      <w:r w:rsidRPr="007C5358">
        <w:rPr>
          <w:iCs/>
        </w:rPr>
        <w:t>=</w:t>
      </w:r>
      <w:r w:rsidRPr="007C5358">
        <w:rPr>
          <w:iCs/>
        </w:rPr>
        <w:tab/>
        <w:t>incremental time in simulation (d); and</w:t>
      </w:r>
    </w:p>
    <w:p w:rsidR="00D91403" w:rsidRPr="007C5358" w:rsidRDefault="00D91403" w:rsidP="00D91403">
      <w:pPr>
        <w:widowControl/>
        <w:tabs>
          <w:tab w:val="left" w:pos="-1440"/>
        </w:tabs>
        <w:ind w:left="2880" w:hanging="2160"/>
        <w:rPr>
          <w:iCs/>
        </w:rPr>
      </w:pPr>
      <w:proofErr w:type="spellStart"/>
      <w:r w:rsidRPr="00DF5FEC">
        <w:rPr>
          <w:i/>
          <w:iCs/>
        </w:rPr>
        <w:t>ManningVol</w:t>
      </w:r>
      <w:proofErr w:type="spellEnd"/>
      <w:r w:rsidRPr="002E3F5E">
        <w:rPr>
          <w:i/>
          <w:iCs/>
        </w:rPr>
        <w:tab/>
      </w:r>
      <w:r w:rsidRPr="002E3F5E">
        <w:rPr>
          <w:i/>
          <w:iCs/>
        </w:rPr>
        <w:tab/>
      </w:r>
      <w:r w:rsidRPr="007C5358">
        <w:rPr>
          <w:iCs/>
        </w:rPr>
        <w:t>=</w:t>
      </w:r>
      <w:r w:rsidRPr="007C5358">
        <w:rPr>
          <w:iCs/>
        </w:rPr>
        <w:tab/>
        <w:t>volume of stream reach (m</w:t>
      </w:r>
      <w:r w:rsidRPr="00E25079">
        <w:rPr>
          <w:iCs/>
          <w:vertAlign w:val="superscript"/>
        </w:rPr>
        <w:t>3</w:t>
      </w:r>
      <w:r w:rsidRPr="007C5358">
        <w:rPr>
          <w:iCs/>
        </w:rPr>
        <w:t xml:space="preserve">), see </w:t>
      </w:r>
      <w:r w:rsidRPr="005E1767">
        <w:rPr>
          <w:b/>
        </w:rPr>
        <w:t>(</w:t>
      </w:r>
      <w:r>
        <w:rPr>
          <w:b/>
          <w:noProof/>
        </w:rPr>
        <w:t>4</w:t>
      </w:r>
      <w:r w:rsidRPr="005E1767">
        <w:rPr>
          <w:b/>
        </w:rPr>
        <w:t>)</w:t>
      </w:r>
      <w:r w:rsidRPr="007C5358">
        <w:rPr>
          <w:iCs/>
        </w:rPr>
        <w:t>.</w:t>
      </w:r>
    </w:p>
    <w:p w:rsidR="00D91403" w:rsidRPr="00DF5FEC" w:rsidRDefault="00D91403" w:rsidP="00D91403">
      <w:pPr>
        <w:widowControl/>
      </w:pPr>
    </w:p>
    <w:p w:rsidR="00D91403" w:rsidRPr="00DF5FEC" w:rsidRDefault="00D91403" w:rsidP="00D91403">
      <w:pPr>
        <w:jc w:val="center"/>
      </w:pPr>
    </w:p>
    <w:p w:rsidR="00D91403" w:rsidRDefault="00D91403" w:rsidP="00D91403">
      <w:pPr>
        <w:widowControl/>
      </w:pPr>
      <w:r>
        <w:t xml:space="preserve">Figure </w:t>
      </w:r>
      <w:r>
        <w:rPr>
          <w:noProof/>
        </w:rPr>
        <w:t>35</w:t>
      </w:r>
      <w:r>
        <w:rPr>
          <w:b/>
          <w:bCs/>
        </w:rPr>
        <w:t xml:space="preserve"> </w:t>
      </w:r>
      <w:r w:rsidRPr="00DF5FEC">
        <w:t>illustrates time-varying volumes and inflow loadings specified by the user and discharge computed by the model for a run-of-the-river reservoir.  Note that significant drops in volume occur with operational releases, usually in the spring, for flood control purposes.</w:t>
      </w:r>
    </w:p>
    <w:p w:rsidR="00D91403" w:rsidRPr="00DF5FEC" w:rsidRDefault="00D91403" w:rsidP="00D91403">
      <w:pPr>
        <w:widowControl/>
      </w:pPr>
    </w:p>
    <w:p w:rsidR="00D91403" w:rsidRPr="00826493" w:rsidRDefault="00D91403" w:rsidP="00D91403">
      <w:pPr>
        <w:pStyle w:val="Caption"/>
        <w:keepNext/>
        <w:jc w:val="center"/>
        <w:outlineLvl w:val="0"/>
        <w:rPr>
          <w:b w:val="0"/>
        </w:rPr>
      </w:pPr>
      <w:bookmarkStart w:id="6" w:name="_Ref130638022"/>
      <w:proofErr w:type="gramStart"/>
      <w:r>
        <w:lastRenderedPageBreak/>
        <w:t xml:space="preserve">Figure </w:t>
      </w:r>
      <w:r>
        <w:rPr>
          <w:noProof/>
        </w:rPr>
        <w:t>35</w:t>
      </w:r>
      <w:bookmarkEnd w:id="6"/>
      <w:r>
        <w:t>.</w:t>
      </w:r>
      <w:proofErr w:type="gramEnd"/>
      <w:r>
        <w:t xml:space="preserve">  </w:t>
      </w:r>
      <w:r w:rsidRPr="00826493">
        <w:rPr>
          <w:b w:val="0"/>
        </w:rPr>
        <w:t>Volume, inflow, and discharge for a 4-year period</w:t>
      </w:r>
    </w:p>
    <w:p w:rsidR="00D91403" w:rsidRPr="00826493" w:rsidRDefault="00D91403" w:rsidP="00D91403">
      <w:pPr>
        <w:pStyle w:val="Caption"/>
        <w:keepNext/>
        <w:jc w:val="center"/>
        <w:outlineLvl w:val="0"/>
        <w:rPr>
          <w:b w:val="0"/>
        </w:rPr>
      </w:pPr>
      <w:proofErr w:type="gramStart"/>
      <w:r w:rsidRPr="00826493">
        <w:rPr>
          <w:b w:val="0"/>
        </w:rPr>
        <w:t>in</w:t>
      </w:r>
      <w:proofErr w:type="gramEnd"/>
      <w:r w:rsidRPr="00826493">
        <w:rPr>
          <w:b w:val="0"/>
        </w:rPr>
        <w:t xml:space="preserve"> Coralville Reservoir, Iowa.</w:t>
      </w:r>
    </w:p>
    <w:p w:rsidR="00D91403" w:rsidRPr="00DF5FEC" w:rsidRDefault="00D91403" w:rsidP="00D91403">
      <w:pPr>
        <w:widowControl/>
        <w:jc w:val="center"/>
      </w:pPr>
      <w:r>
        <w:rPr>
          <w:noProof/>
        </w:rPr>
        <w:drawing>
          <wp:inline distT="0" distB="0" distL="0" distR="0" wp14:anchorId="527C00CD" wp14:editId="7A379754">
            <wp:extent cx="3878580" cy="29140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r="-1114" b="-1114"/>
                    <a:stretch>
                      <a:fillRect/>
                    </a:stretch>
                  </pic:blipFill>
                  <pic:spPr bwMode="auto">
                    <a:xfrm>
                      <a:off x="0" y="0"/>
                      <a:ext cx="3878580" cy="2914015"/>
                    </a:xfrm>
                    <a:prstGeom prst="rect">
                      <a:avLst/>
                    </a:prstGeom>
                    <a:noFill/>
                    <a:ln>
                      <a:noFill/>
                    </a:ln>
                  </pic:spPr>
                </pic:pic>
              </a:graphicData>
            </a:graphic>
          </wp:inline>
        </w:drawing>
      </w:r>
    </w:p>
    <w:p w:rsidR="00D91403" w:rsidRDefault="00D91403" w:rsidP="00D91403">
      <w:pPr>
        <w:widowControl/>
      </w:pPr>
    </w:p>
    <w:p w:rsidR="00D91403" w:rsidRDefault="00D91403" w:rsidP="00D91403">
      <w:pPr>
        <w:widowControl/>
      </w:pPr>
    </w:p>
    <w:p w:rsidR="00D91403" w:rsidRDefault="00D91403" w:rsidP="00D91403">
      <w:pPr>
        <w:widowControl/>
      </w:pPr>
    </w:p>
    <w:p w:rsidR="00D91403" w:rsidRDefault="00D91403" w:rsidP="00D91403">
      <w:pPr>
        <w:widowControl/>
      </w:pPr>
      <w:r w:rsidRPr="00DF5FEC">
        <w:t>The time-varying volume of water in a stream channel is computed as:</w:t>
      </w:r>
    </w:p>
    <w:p w:rsidR="00D91403" w:rsidRPr="00DF5FEC" w:rsidRDefault="00D91403" w:rsidP="00D91403">
      <w:pPr>
        <w:widowControl/>
      </w:pPr>
    </w:p>
    <w:p w:rsidR="00D91403" w:rsidRPr="00DF5FEC" w:rsidRDefault="00D91403" w:rsidP="00D91403">
      <w:pPr>
        <w:tabs>
          <w:tab w:val="center" w:pos="4680"/>
          <w:tab w:val="right" w:pos="9360"/>
        </w:tabs>
        <w:jc w:val="center"/>
      </w:pPr>
      <w:r>
        <w:tab/>
      </w:r>
      <w:r w:rsidRPr="00DF5FEC">
        <w:rPr>
          <w:position w:val="-10"/>
        </w:rPr>
        <w:pict>
          <v:shape id="_x0000_i1028" type="#_x0000_t75" style="width:166.15pt;height:15.8pt">
            <v:imagedata r:id="rId9" r:pict="rId10" o:title=""/>
          </v:shape>
        </w:pict>
      </w:r>
      <w:r>
        <w:tab/>
      </w:r>
      <w:bookmarkStart w:id="7" w:name="Manning"/>
      <w:r w:rsidRPr="005E1767">
        <w:rPr>
          <w:b/>
        </w:rPr>
        <w:t>(</w:t>
      </w:r>
      <w:r>
        <w:rPr>
          <w:b/>
          <w:noProof/>
        </w:rPr>
        <w:t>4</w:t>
      </w:r>
      <w:r w:rsidRPr="005E1767">
        <w:rPr>
          <w:b/>
        </w:rPr>
        <w:t>)</w:t>
      </w:r>
      <w:bookmarkEnd w:id="7"/>
      <w:r>
        <w:tab/>
      </w:r>
    </w:p>
    <w:p w:rsidR="00D91403" w:rsidRPr="00DF5FEC" w:rsidRDefault="00D91403" w:rsidP="00D91403">
      <w:pPr>
        <w:widowControl/>
      </w:pPr>
      <w:proofErr w:type="gramStart"/>
      <w:r w:rsidRPr="00DF5FEC">
        <w:t>where</w:t>
      </w:r>
      <w:proofErr w:type="gramEnd"/>
      <w:r w:rsidRPr="00DF5FEC">
        <w:t>:</w:t>
      </w:r>
    </w:p>
    <w:p w:rsidR="00D91403" w:rsidRPr="007C5358" w:rsidRDefault="00D91403" w:rsidP="00D91403">
      <w:pPr>
        <w:widowControl/>
        <w:tabs>
          <w:tab w:val="left" w:pos="-1440"/>
        </w:tabs>
        <w:ind w:left="2880" w:hanging="2160"/>
        <w:rPr>
          <w:iCs/>
        </w:rPr>
      </w:pPr>
      <w:r w:rsidRPr="00DF5FEC">
        <w:rPr>
          <w:i/>
          <w:iCs/>
        </w:rPr>
        <w:t>Y</w:t>
      </w:r>
      <w:r>
        <w:rPr>
          <w:i/>
          <w:iCs/>
        </w:rPr>
        <w:tab/>
      </w:r>
      <w:r w:rsidRPr="007C5358">
        <w:rPr>
          <w:iCs/>
        </w:rPr>
        <w:t>=</w:t>
      </w:r>
      <w:r w:rsidRPr="007C5358">
        <w:rPr>
          <w:iCs/>
        </w:rPr>
        <w:tab/>
        <w:t xml:space="preserve">dynamic mean depth (m), see </w:t>
      </w:r>
      <w:r w:rsidRPr="005E1767">
        <w:rPr>
          <w:b/>
        </w:rPr>
        <w:t>(</w:t>
      </w:r>
      <w:r>
        <w:rPr>
          <w:b/>
          <w:noProof/>
        </w:rPr>
        <w:t>5</w:t>
      </w:r>
      <w:r w:rsidRPr="005E1767">
        <w:rPr>
          <w:b/>
        </w:rPr>
        <w:t>)</w:t>
      </w:r>
      <w:r w:rsidRPr="007C5358">
        <w:rPr>
          <w:iCs/>
        </w:rPr>
        <w:t>;</w:t>
      </w:r>
    </w:p>
    <w:p w:rsidR="00D91403" w:rsidRPr="007C5358" w:rsidRDefault="00D91403" w:rsidP="00D91403">
      <w:pPr>
        <w:widowControl/>
        <w:tabs>
          <w:tab w:val="left" w:pos="-1440"/>
        </w:tabs>
        <w:ind w:left="2880" w:hanging="2160"/>
        <w:rPr>
          <w:iCs/>
        </w:rPr>
      </w:pPr>
      <w:proofErr w:type="spellStart"/>
      <w:r w:rsidRPr="00DF5FEC">
        <w:rPr>
          <w:i/>
          <w:iCs/>
        </w:rPr>
        <w:t>CLength</w:t>
      </w:r>
      <w:proofErr w:type="spellEnd"/>
      <w:r w:rsidRPr="002E3F5E">
        <w:rPr>
          <w:i/>
          <w:iCs/>
        </w:rPr>
        <w:tab/>
      </w:r>
      <w:r w:rsidRPr="007C5358">
        <w:rPr>
          <w:iCs/>
        </w:rPr>
        <w:t>=</w:t>
      </w:r>
      <w:r w:rsidRPr="007C5358">
        <w:rPr>
          <w:iCs/>
        </w:rPr>
        <w:tab/>
        <w:t>length of reach (m); and</w:t>
      </w:r>
    </w:p>
    <w:p w:rsidR="00D91403" w:rsidRPr="007C5358" w:rsidRDefault="00D91403" w:rsidP="00D91403">
      <w:pPr>
        <w:widowControl/>
        <w:tabs>
          <w:tab w:val="left" w:pos="-1440"/>
        </w:tabs>
        <w:ind w:left="2880" w:hanging="2160"/>
        <w:rPr>
          <w:iCs/>
        </w:rPr>
      </w:pPr>
      <w:r w:rsidRPr="00DF5FEC">
        <w:rPr>
          <w:i/>
          <w:iCs/>
        </w:rPr>
        <w:t>Width</w:t>
      </w:r>
      <w:r w:rsidRPr="002E3F5E">
        <w:rPr>
          <w:i/>
          <w:iCs/>
        </w:rPr>
        <w:tab/>
      </w:r>
      <w:r w:rsidRPr="007C5358">
        <w:rPr>
          <w:iCs/>
        </w:rPr>
        <w:t>=</w:t>
      </w:r>
      <w:r w:rsidRPr="007C5358">
        <w:rPr>
          <w:iCs/>
        </w:rPr>
        <w:tab/>
        <w:t>width of channel (m).</w:t>
      </w:r>
    </w:p>
    <w:p w:rsidR="00D91403" w:rsidRPr="00DF5FEC" w:rsidRDefault="00D91403" w:rsidP="00D91403">
      <w:pPr>
        <w:widowControl/>
      </w:pPr>
    </w:p>
    <w:p w:rsidR="00D91403" w:rsidRDefault="00D91403" w:rsidP="00D91403">
      <w:pPr>
        <w:widowControl/>
      </w:pPr>
      <w:r w:rsidRPr="00DF5FEC">
        <w:t>In streams the depth of water and flow rate are key variables in computing the transport, scour, and deposition of sediments.  Time-varying water depth is a function of the flow rate, channel roughness, slope, and channel width using Manning</w:t>
      </w:r>
      <w:r>
        <w:t>’s</w:t>
      </w:r>
      <w:r w:rsidRPr="00DF5FEC">
        <w:t xml:space="preserve"> equation (Gregory, 1973), which is rearranged to yield:</w:t>
      </w:r>
    </w:p>
    <w:p w:rsidR="00D91403" w:rsidRPr="00DF5FEC" w:rsidRDefault="00D91403" w:rsidP="00D91403">
      <w:pPr>
        <w:widowControl/>
      </w:pPr>
    </w:p>
    <w:p w:rsidR="00D91403" w:rsidRPr="00DF5FEC" w:rsidRDefault="00D91403" w:rsidP="00D91403">
      <w:pPr>
        <w:tabs>
          <w:tab w:val="center" w:pos="4680"/>
          <w:tab w:val="right" w:pos="9360"/>
        </w:tabs>
        <w:jc w:val="center"/>
      </w:pPr>
      <w:r>
        <w:tab/>
      </w:r>
      <w:r w:rsidRPr="00CF125F">
        <w:rPr>
          <w:position w:val="-36"/>
        </w:rPr>
        <w:pict>
          <v:shape id="_x0000_i1027" type="#_x0000_t75" style="width:114.75pt;height:44.3pt">
            <v:imagedata r:id="rId11" r:pict="rId12" o:title=""/>
          </v:shape>
        </w:pict>
      </w:r>
      <w:r>
        <w:tab/>
      </w:r>
      <w:bookmarkStart w:id="8" w:name="ydepth"/>
      <w:r w:rsidRPr="005E1767">
        <w:rPr>
          <w:b/>
        </w:rPr>
        <w:t>(</w:t>
      </w:r>
      <w:r>
        <w:rPr>
          <w:b/>
          <w:noProof/>
        </w:rPr>
        <w:t>5</w:t>
      </w:r>
      <w:r w:rsidRPr="005E1767">
        <w:rPr>
          <w:b/>
        </w:rPr>
        <w:t>)</w:t>
      </w:r>
      <w:bookmarkEnd w:id="8"/>
      <w:r>
        <w:tab/>
      </w:r>
    </w:p>
    <w:p w:rsidR="00D91403" w:rsidRPr="00DF5FEC" w:rsidRDefault="00D91403" w:rsidP="00D91403">
      <w:pPr>
        <w:widowControl/>
      </w:pPr>
      <w:proofErr w:type="gramStart"/>
      <w:r w:rsidRPr="00DF5FEC">
        <w:t>where</w:t>
      </w:r>
      <w:proofErr w:type="gramEnd"/>
      <w:r w:rsidRPr="00DF5FEC">
        <w:t>:</w:t>
      </w:r>
    </w:p>
    <w:p w:rsidR="00D91403" w:rsidRPr="007C5358" w:rsidRDefault="00D91403" w:rsidP="00D91403">
      <w:pPr>
        <w:widowControl/>
        <w:tabs>
          <w:tab w:val="left" w:pos="-1440"/>
        </w:tabs>
        <w:ind w:left="2880" w:hanging="2160"/>
        <w:rPr>
          <w:iCs/>
        </w:rPr>
      </w:pPr>
      <w:r w:rsidRPr="00DF5FEC">
        <w:rPr>
          <w:i/>
          <w:iCs/>
        </w:rPr>
        <w:t>Q</w:t>
      </w:r>
      <w:r w:rsidRPr="002E3F5E">
        <w:rPr>
          <w:i/>
          <w:iCs/>
        </w:rPr>
        <w:tab/>
      </w:r>
      <w:r w:rsidRPr="007C5358">
        <w:rPr>
          <w:iCs/>
        </w:rPr>
        <w:t>=</w:t>
      </w:r>
      <w:r w:rsidRPr="007C5358">
        <w:rPr>
          <w:iCs/>
        </w:rPr>
        <w:tab/>
        <w:t>flow rate (m</w:t>
      </w:r>
      <w:r w:rsidRPr="00B051B6">
        <w:rPr>
          <w:iCs/>
          <w:vertAlign w:val="superscript"/>
        </w:rPr>
        <w:t>3</w:t>
      </w:r>
      <w:r w:rsidRPr="007C5358">
        <w:rPr>
          <w:iCs/>
        </w:rPr>
        <w:t>/s);</w:t>
      </w:r>
    </w:p>
    <w:p w:rsidR="00D91403" w:rsidRPr="007C5358" w:rsidRDefault="00D91403" w:rsidP="00D91403">
      <w:pPr>
        <w:widowControl/>
        <w:tabs>
          <w:tab w:val="left" w:pos="-1440"/>
        </w:tabs>
        <w:ind w:left="2880" w:hanging="2160"/>
        <w:rPr>
          <w:iCs/>
        </w:rPr>
      </w:pPr>
      <w:r w:rsidRPr="00DF5FEC">
        <w:rPr>
          <w:i/>
          <w:iCs/>
        </w:rPr>
        <w:t>Manning</w:t>
      </w:r>
      <w:r w:rsidRPr="002E3F5E">
        <w:rPr>
          <w:i/>
          <w:iCs/>
        </w:rPr>
        <w:tab/>
      </w:r>
      <w:r w:rsidRPr="007C5358">
        <w:rPr>
          <w:iCs/>
        </w:rPr>
        <w:t>=</w:t>
      </w:r>
      <w:r w:rsidRPr="007C5358">
        <w:rPr>
          <w:iCs/>
        </w:rPr>
        <w:tab/>
        <w:t>Manning</w:t>
      </w:r>
      <w:r>
        <w:rPr>
          <w:iCs/>
        </w:rPr>
        <w:t>’s</w:t>
      </w:r>
      <w:r w:rsidRPr="007C5358">
        <w:rPr>
          <w:iCs/>
        </w:rPr>
        <w:t xml:space="preserve"> roughness coefficient (s/m</w:t>
      </w:r>
      <w:r w:rsidRPr="00B051B6">
        <w:rPr>
          <w:iCs/>
          <w:vertAlign w:val="superscript"/>
        </w:rPr>
        <w:t>1/3</w:t>
      </w:r>
      <w:r w:rsidRPr="007C5358">
        <w:rPr>
          <w:iCs/>
        </w:rPr>
        <w:t>);</w:t>
      </w:r>
    </w:p>
    <w:p w:rsidR="00D91403" w:rsidRPr="007C5358" w:rsidRDefault="00D91403" w:rsidP="00D91403">
      <w:pPr>
        <w:widowControl/>
        <w:tabs>
          <w:tab w:val="left" w:pos="-1440"/>
        </w:tabs>
        <w:ind w:left="2880" w:hanging="2160"/>
        <w:rPr>
          <w:iCs/>
        </w:rPr>
      </w:pPr>
      <w:r w:rsidRPr="00DF5FEC">
        <w:rPr>
          <w:i/>
          <w:iCs/>
        </w:rPr>
        <w:t>Slope</w:t>
      </w:r>
      <w:r w:rsidRPr="002E3F5E">
        <w:rPr>
          <w:i/>
          <w:iCs/>
        </w:rPr>
        <w:tab/>
      </w:r>
      <w:r w:rsidRPr="007C5358">
        <w:rPr>
          <w:iCs/>
        </w:rPr>
        <w:t>=</w:t>
      </w:r>
      <w:r w:rsidRPr="007C5358">
        <w:rPr>
          <w:iCs/>
        </w:rPr>
        <w:tab/>
        <w:t>slope of channel (m/m); and</w:t>
      </w:r>
    </w:p>
    <w:p w:rsidR="00D91403" w:rsidRPr="007C5358" w:rsidRDefault="00D91403" w:rsidP="00D91403">
      <w:pPr>
        <w:widowControl/>
        <w:tabs>
          <w:tab w:val="left" w:pos="-1440"/>
        </w:tabs>
        <w:ind w:left="2880" w:hanging="2160"/>
        <w:rPr>
          <w:iCs/>
        </w:rPr>
      </w:pPr>
      <w:r w:rsidRPr="00DF5FEC">
        <w:rPr>
          <w:i/>
          <w:iCs/>
        </w:rPr>
        <w:t>Width</w:t>
      </w:r>
      <w:r w:rsidRPr="002E3F5E">
        <w:rPr>
          <w:i/>
          <w:iCs/>
        </w:rPr>
        <w:tab/>
      </w:r>
      <w:r w:rsidRPr="007C5358">
        <w:rPr>
          <w:iCs/>
        </w:rPr>
        <w:t>=</w:t>
      </w:r>
      <w:r w:rsidRPr="007C5358">
        <w:rPr>
          <w:iCs/>
        </w:rPr>
        <w:tab/>
        <w:t>channel width (m).</w:t>
      </w:r>
    </w:p>
    <w:p w:rsidR="00D91403" w:rsidRPr="00DF5FEC" w:rsidRDefault="00D91403" w:rsidP="00D91403">
      <w:pPr>
        <w:widowControl/>
      </w:pPr>
    </w:p>
    <w:p w:rsidR="00D91403" w:rsidRPr="00DF5FEC" w:rsidRDefault="00D91403" w:rsidP="00D91403">
      <w:pPr>
        <w:widowControl/>
      </w:pPr>
      <w:r w:rsidRPr="00DF5FEC">
        <w:t>The Manning</w:t>
      </w:r>
      <w:r>
        <w:t>’s</w:t>
      </w:r>
      <w:r w:rsidRPr="00DF5FEC">
        <w:t xml:space="preserve"> roughness coefficient is an important parameter representing frictional loss, but it is not subject to direct measurement.  The user can choose among the following stream types:</w:t>
      </w:r>
    </w:p>
    <w:p w:rsidR="00D91403" w:rsidRPr="00DF5FEC" w:rsidRDefault="00D91403" w:rsidP="00D91403">
      <w:pPr>
        <w:widowControl/>
      </w:pPr>
    </w:p>
    <w:p w:rsidR="00D91403" w:rsidRPr="00DF5FEC" w:rsidRDefault="00D91403" w:rsidP="00D91403">
      <w:pPr>
        <w:pStyle w:val="Style"/>
        <w:widowControl/>
        <w:numPr>
          <w:ilvl w:val="0"/>
          <w:numId w:val="1"/>
        </w:numPr>
        <w:tabs>
          <w:tab w:val="left" w:pos="-1440"/>
        </w:tabs>
      </w:pPr>
      <w:r w:rsidRPr="00DF5FEC">
        <w:lastRenderedPageBreak/>
        <w:t>concrete channel (with a default Manning</w:t>
      </w:r>
      <w:r>
        <w:t>’s</w:t>
      </w:r>
      <w:r w:rsidRPr="00DF5FEC">
        <w:t xml:space="preserve"> coefficient of 0.020);</w:t>
      </w:r>
    </w:p>
    <w:p w:rsidR="00D91403" w:rsidRPr="00DF5FEC" w:rsidRDefault="00D91403" w:rsidP="00D91403">
      <w:pPr>
        <w:pStyle w:val="Style"/>
        <w:widowControl/>
        <w:numPr>
          <w:ilvl w:val="0"/>
          <w:numId w:val="1"/>
        </w:numPr>
        <w:tabs>
          <w:tab w:val="left" w:pos="-1440"/>
        </w:tabs>
      </w:pPr>
      <w:r w:rsidRPr="00DF5FEC">
        <w:t>dredged channel, such as ditches and channelized streams (default coefficient of 0.030); and</w:t>
      </w:r>
    </w:p>
    <w:p w:rsidR="00D91403" w:rsidRPr="00DF5FEC" w:rsidRDefault="00D91403" w:rsidP="00D91403">
      <w:pPr>
        <w:pStyle w:val="Style"/>
        <w:widowControl/>
        <w:numPr>
          <w:ilvl w:val="0"/>
          <w:numId w:val="1"/>
        </w:numPr>
        <w:tabs>
          <w:tab w:val="left" w:pos="-1440"/>
        </w:tabs>
      </w:pPr>
      <w:proofErr w:type="gramStart"/>
      <w:r w:rsidRPr="00DF5FEC">
        <w:t>natural</w:t>
      </w:r>
      <w:proofErr w:type="gramEnd"/>
      <w:r w:rsidRPr="00DF5FEC">
        <w:t xml:space="preserve"> channel (default coefficient of 0.040).</w:t>
      </w:r>
    </w:p>
    <w:p w:rsidR="00D91403" w:rsidRPr="00DF5FEC" w:rsidRDefault="00D91403" w:rsidP="00D91403">
      <w:pPr>
        <w:widowControl/>
      </w:pPr>
    </w:p>
    <w:p w:rsidR="00D91403" w:rsidRDefault="00D91403" w:rsidP="00D91403">
      <w:pPr>
        <w:outlineLvl w:val="0"/>
      </w:pPr>
      <w:r w:rsidRPr="00DF5FEC">
        <w:t>These generalities are based on Chow</w:t>
      </w:r>
      <w:r>
        <w:t>’s</w:t>
      </w:r>
      <w:r w:rsidRPr="00DF5FEC">
        <w:t xml:space="preserve"> (1959) tabulated values as given by </w:t>
      </w:r>
      <w:proofErr w:type="spellStart"/>
      <w:r w:rsidRPr="00DF5FEC">
        <w:t>Hoggan</w:t>
      </w:r>
      <w:proofErr w:type="spellEnd"/>
      <w:r w:rsidRPr="00DF5FEC">
        <w:t xml:space="preserve"> (1989).</w:t>
      </w:r>
      <w:r>
        <w:t xml:space="preserve"> The user may also enter a value for the coefficient.</w:t>
      </w:r>
    </w:p>
    <w:p w:rsidR="00D91403" w:rsidRPr="00DF5FEC" w:rsidRDefault="00D91403" w:rsidP="00D91403">
      <w:pPr>
        <w:widowControl/>
      </w:pPr>
    </w:p>
    <w:p w:rsidR="00D91403" w:rsidRDefault="00D91403" w:rsidP="00D91403">
      <w:pPr>
        <w:widowControl/>
      </w:pPr>
      <w:r w:rsidRPr="00DF5FEC">
        <w:t>In the absence of inflow data, the flow rate is computed from the initial mean water depth, assuming a rectangular channel and using a rearrangement of Manning</w:t>
      </w:r>
      <w:r>
        <w:t>’s</w:t>
      </w:r>
      <w:r w:rsidRPr="00DF5FEC">
        <w:t xml:space="preserve"> equation:</w:t>
      </w:r>
    </w:p>
    <w:p w:rsidR="00D91403" w:rsidRPr="00DF5FEC" w:rsidRDefault="00D91403" w:rsidP="00D91403">
      <w:pPr>
        <w:widowControl/>
      </w:pPr>
    </w:p>
    <w:p w:rsidR="00D91403" w:rsidRPr="00DF5FEC" w:rsidRDefault="00D91403" w:rsidP="00D91403">
      <w:pPr>
        <w:tabs>
          <w:tab w:val="center" w:pos="4680"/>
          <w:tab w:val="right" w:pos="9360"/>
        </w:tabs>
        <w:jc w:val="center"/>
      </w:pPr>
      <w:r>
        <w:tab/>
      </w:r>
      <w:r w:rsidRPr="00DF5FEC">
        <w:rPr>
          <w:position w:val="-28"/>
        </w:rPr>
        <w:pict>
          <v:shape id="_x0000_i1026" type="#_x0000_t75" style="width:169.3pt;height:37.2pt">
            <v:imagedata r:id="rId13" r:pict="rId14" o:title=""/>
          </v:shape>
        </w:pict>
      </w:r>
      <w:r>
        <w:tab/>
      </w:r>
      <w:bookmarkStart w:id="9" w:name="QBase"/>
      <w:r w:rsidRPr="005E1767">
        <w:rPr>
          <w:b/>
        </w:rPr>
        <w:t>(</w:t>
      </w:r>
      <w:r>
        <w:rPr>
          <w:b/>
          <w:noProof/>
        </w:rPr>
        <w:t>6</w:t>
      </w:r>
      <w:r w:rsidRPr="005E1767">
        <w:rPr>
          <w:b/>
        </w:rPr>
        <w:t>)</w:t>
      </w:r>
      <w:bookmarkEnd w:id="9"/>
      <w:r>
        <w:tab/>
      </w:r>
    </w:p>
    <w:p w:rsidR="00D91403" w:rsidRPr="00DF5FEC" w:rsidRDefault="00D91403" w:rsidP="00D91403">
      <w:pPr>
        <w:widowControl/>
      </w:pPr>
      <w:proofErr w:type="gramStart"/>
      <w:r w:rsidRPr="00DF5FEC">
        <w:t>where</w:t>
      </w:r>
      <w:proofErr w:type="gramEnd"/>
      <w:r w:rsidRPr="00DF5FEC">
        <w:t>:</w:t>
      </w:r>
    </w:p>
    <w:p w:rsidR="00D91403" w:rsidRPr="007C5358" w:rsidRDefault="00D91403" w:rsidP="00D91403">
      <w:pPr>
        <w:widowControl/>
        <w:tabs>
          <w:tab w:val="left" w:pos="-1440"/>
        </w:tabs>
        <w:ind w:left="2880" w:hanging="2160"/>
        <w:rPr>
          <w:iCs/>
        </w:rPr>
      </w:pPr>
      <w:proofErr w:type="spellStart"/>
      <w:r w:rsidRPr="00DF5FEC">
        <w:rPr>
          <w:i/>
          <w:iCs/>
        </w:rPr>
        <w:t>QBase</w:t>
      </w:r>
      <w:proofErr w:type="spellEnd"/>
      <w:r w:rsidRPr="002E3F5E">
        <w:rPr>
          <w:i/>
          <w:iCs/>
        </w:rPr>
        <w:tab/>
      </w:r>
      <w:r w:rsidRPr="007C5358">
        <w:rPr>
          <w:iCs/>
        </w:rPr>
        <w:t>=</w:t>
      </w:r>
      <w:r w:rsidRPr="007C5358">
        <w:rPr>
          <w:iCs/>
        </w:rPr>
        <w:tab/>
        <w:t>base flow (m</w:t>
      </w:r>
      <w:r w:rsidRPr="00B051B6">
        <w:rPr>
          <w:iCs/>
          <w:vertAlign w:val="superscript"/>
        </w:rPr>
        <w:t>3</w:t>
      </w:r>
      <w:r w:rsidRPr="007C5358">
        <w:rPr>
          <w:iCs/>
        </w:rPr>
        <w:t>/s); and</w:t>
      </w:r>
    </w:p>
    <w:p w:rsidR="00D91403" w:rsidRPr="007C5358" w:rsidRDefault="00D91403" w:rsidP="00D91403">
      <w:pPr>
        <w:widowControl/>
        <w:tabs>
          <w:tab w:val="left" w:pos="-1440"/>
        </w:tabs>
        <w:ind w:left="2880" w:hanging="2160"/>
        <w:rPr>
          <w:iCs/>
        </w:rPr>
      </w:pPr>
      <w:proofErr w:type="spellStart"/>
      <w:r w:rsidRPr="00DF5FEC">
        <w:rPr>
          <w:i/>
          <w:iCs/>
        </w:rPr>
        <w:t>Idepth</w:t>
      </w:r>
      <w:proofErr w:type="spellEnd"/>
      <w:r w:rsidRPr="002E3F5E">
        <w:rPr>
          <w:i/>
          <w:iCs/>
        </w:rPr>
        <w:tab/>
      </w:r>
      <w:r w:rsidRPr="007C5358">
        <w:rPr>
          <w:iCs/>
        </w:rPr>
        <w:t>=</w:t>
      </w:r>
      <w:r w:rsidRPr="007C5358">
        <w:rPr>
          <w:iCs/>
        </w:rPr>
        <w:tab/>
        <w:t>mean depth as given in site record (m).</w:t>
      </w:r>
    </w:p>
    <w:p w:rsidR="00D91403" w:rsidRPr="00DF5FEC" w:rsidRDefault="00D91403" w:rsidP="00D91403">
      <w:pPr>
        <w:widowControl/>
      </w:pPr>
    </w:p>
    <w:p w:rsidR="00D91403" w:rsidRDefault="00D91403" w:rsidP="00D91403">
      <w:pPr>
        <w:widowControl/>
      </w:pPr>
      <w:r w:rsidRPr="00DF5FEC">
        <w:t>The dynamic flow rate is calculated from the inflow loading by converting from m</w:t>
      </w:r>
      <w:r w:rsidRPr="00DF5FEC">
        <w:rPr>
          <w:vertAlign w:val="superscript"/>
        </w:rPr>
        <w:t>3</w:t>
      </w:r>
      <w:r w:rsidRPr="00DF5FEC">
        <w:t>/d to m</w:t>
      </w:r>
      <w:r w:rsidRPr="00DF5FEC">
        <w:rPr>
          <w:vertAlign w:val="superscript"/>
        </w:rPr>
        <w:t>3</w:t>
      </w:r>
      <w:r w:rsidRPr="00DF5FEC">
        <w:t>/s:</w:t>
      </w:r>
    </w:p>
    <w:p w:rsidR="00D91403" w:rsidRPr="00DF5FEC" w:rsidRDefault="00D91403" w:rsidP="00D91403">
      <w:pPr>
        <w:widowControl/>
      </w:pPr>
    </w:p>
    <w:p w:rsidR="00D91403" w:rsidRPr="00DF5FEC" w:rsidRDefault="00D91403" w:rsidP="00D91403">
      <w:pPr>
        <w:tabs>
          <w:tab w:val="center" w:pos="4680"/>
          <w:tab w:val="right" w:pos="9360"/>
        </w:tabs>
        <w:jc w:val="center"/>
      </w:pPr>
      <w:r>
        <w:tab/>
      </w:r>
      <w:r w:rsidRPr="00DF5FEC">
        <w:rPr>
          <w:position w:val="-24"/>
        </w:rPr>
        <w:pict>
          <v:shape id="_x0000_i1025" type="#_x0000_t75" style="width:56.95pt;height:30.85pt">
            <v:imagedata r:id="rId15" r:pict="rId16" o:title=""/>
          </v:shape>
        </w:pict>
      </w:r>
      <w:r>
        <w:tab/>
      </w:r>
      <w:bookmarkStart w:id="10" w:name="QFlow"/>
      <w:r w:rsidRPr="005E1767">
        <w:rPr>
          <w:b/>
        </w:rPr>
        <w:t>(</w:t>
      </w:r>
      <w:r>
        <w:rPr>
          <w:b/>
          <w:noProof/>
        </w:rPr>
        <w:t>7</w:t>
      </w:r>
      <w:r w:rsidRPr="005E1767">
        <w:rPr>
          <w:b/>
        </w:rPr>
        <w:t>)</w:t>
      </w:r>
      <w:bookmarkEnd w:id="10"/>
      <w:r>
        <w:tab/>
      </w:r>
    </w:p>
    <w:p w:rsidR="00D91403" w:rsidRPr="00DF5FEC" w:rsidRDefault="00D91403" w:rsidP="00D91403">
      <w:pPr>
        <w:widowControl/>
      </w:pPr>
      <w:proofErr w:type="gramStart"/>
      <w:r w:rsidRPr="00DF5FEC">
        <w:t>where</w:t>
      </w:r>
      <w:proofErr w:type="gramEnd"/>
      <w:r w:rsidRPr="00DF5FEC">
        <w:t>:</w:t>
      </w:r>
    </w:p>
    <w:p w:rsidR="00D91403" w:rsidRPr="007C5358" w:rsidRDefault="00D91403" w:rsidP="00D91403">
      <w:pPr>
        <w:widowControl/>
        <w:tabs>
          <w:tab w:val="left" w:pos="-1440"/>
        </w:tabs>
        <w:ind w:left="2880" w:hanging="2160"/>
        <w:rPr>
          <w:iCs/>
        </w:rPr>
      </w:pPr>
      <w:r w:rsidRPr="00DF5FEC">
        <w:rPr>
          <w:i/>
          <w:iCs/>
        </w:rPr>
        <w:t>Q</w:t>
      </w:r>
      <w:r w:rsidRPr="002E3F5E">
        <w:rPr>
          <w:i/>
          <w:iCs/>
        </w:rPr>
        <w:tab/>
      </w:r>
      <w:r w:rsidRPr="007C5358">
        <w:rPr>
          <w:iCs/>
        </w:rPr>
        <w:t>=</w:t>
      </w:r>
      <w:r w:rsidRPr="007C5358">
        <w:rPr>
          <w:iCs/>
        </w:rPr>
        <w:tab/>
        <w:t>flow rate (m</w:t>
      </w:r>
      <w:r w:rsidRPr="00B051B6">
        <w:rPr>
          <w:iCs/>
          <w:vertAlign w:val="superscript"/>
        </w:rPr>
        <w:t>3</w:t>
      </w:r>
      <w:r w:rsidRPr="007C5358">
        <w:rPr>
          <w:iCs/>
        </w:rPr>
        <w:t>/s); and</w:t>
      </w:r>
    </w:p>
    <w:p w:rsidR="00D91403" w:rsidRPr="002E3F5E" w:rsidRDefault="00D91403" w:rsidP="00D91403">
      <w:pPr>
        <w:widowControl/>
        <w:tabs>
          <w:tab w:val="left" w:pos="-1440"/>
        </w:tabs>
        <w:ind w:left="2880" w:hanging="2160"/>
        <w:rPr>
          <w:i/>
          <w:iCs/>
        </w:rPr>
      </w:pPr>
      <w:r w:rsidRPr="00DF5FEC">
        <w:rPr>
          <w:i/>
          <w:iCs/>
        </w:rPr>
        <w:t>Inflow</w:t>
      </w:r>
      <w:r w:rsidRPr="002E3F5E">
        <w:rPr>
          <w:i/>
          <w:iCs/>
        </w:rPr>
        <w:tab/>
      </w:r>
      <w:r w:rsidRPr="007C5358">
        <w:rPr>
          <w:iCs/>
        </w:rPr>
        <w:t>=</w:t>
      </w:r>
      <w:r w:rsidRPr="007C5358">
        <w:rPr>
          <w:iCs/>
        </w:rPr>
        <w:tab/>
        <w:t>water discharged into channel from upstream (m</w:t>
      </w:r>
      <w:r w:rsidRPr="00B051B6">
        <w:rPr>
          <w:iCs/>
          <w:vertAlign w:val="superscript"/>
        </w:rPr>
        <w:t>3</w:t>
      </w:r>
      <w:r w:rsidRPr="007C5358">
        <w:rPr>
          <w:iCs/>
        </w:rPr>
        <w:t>/d).</w:t>
      </w:r>
    </w:p>
    <w:p w:rsidR="00122A71" w:rsidRDefault="00B80892"/>
    <w:p w:rsidR="00B80892" w:rsidRDefault="00B80892"/>
    <w:p w:rsidR="00B80892" w:rsidRPr="00DF5FEC" w:rsidRDefault="00B80892" w:rsidP="00B80892">
      <w:pPr>
        <w:widowControl/>
        <w:outlineLvl w:val="0"/>
      </w:pPr>
      <w:r w:rsidRPr="00DF5FEC">
        <w:rPr>
          <w:b/>
          <w:bCs/>
        </w:rPr>
        <w:t>Bathymetric Approximations</w:t>
      </w:r>
      <w:r w:rsidRPr="00DF5FEC">
        <w:rPr>
          <w:b/>
          <w:bCs/>
        </w:rPr>
        <w:fldChar w:fldCharType="begin"/>
      </w:r>
      <w:r w:rsidRPr="00DF5FEC">
        <w:rPr>
          <w:b/>
          <w:bCs/>
        </w:rPr>
        <w:instrText>tc \l3 "</w:instrText>
      </w:r>
      <w:bookmarkStart w:id="11" w:name="_Toc471905918"/>
      <w:r w:rsidRPr="00DF5FEC">
        <w:rPr>
          <w:b/>
          <w:bCs/>
        </w:rPr>
        <w:instrText>Bathymetric Approximations</w:instrText>
      </w:r>
      <w:bookmarkEnd w:id="11"/>
      <w:r w:rsidRPr="00DF5FEC">
        <w:rPr>
          <w:b/>
          <w:bCs/>
        </w:rPr>
        <w:fldChar w:fldCharType="end"/>
      </w:r>
    </w:p>
    <w:p w:rsidR="00B80892" w:rsidRPr="00DF5FEC" w:rsidRDefault="00B80892" w:rsidP="00B80892">
      <w:pPr>
        <w:widowControl/>
      </w:pPr>
    </w:p>
    <w:p w:rsidR="00B80892" w:rsidRDefault="00B80892" w:rsidP="00B80892">
      <w:pPr>
        <w:widowControl/>
      </w:pPr>
      <w:r w:rsidRPr="00DF5FEC">
        <w:t xml:space="preserve">The depth distribution of a water body is important because it determines the areas and volumes subject to mixing and light penetration. The shapes of ponds, lakes, reservoirs, and streams are represented in the model by idealized geometrical approximations, following the topological treatment of </w:t>
      </w:r>
      <w:proofErr w:type="spellStart"/>
      <w:proofErr w:type="gramStart"/>
      <w:r w:rsidRPr="00DF5FEC">
        <w:t>Junge</w:t>
      </w:r>
      <w:proofErr w:type="spellEnd"/>
      <w:r w:rsidRPr="00DF5FEC">
        <w:t xml:space="preserve">  (</w:t>
      </w:r>
      <w:proofErr w:type="gramEnd"/>
      <w:r w:rsidRPr="00DF5FEC">
        <w:t xml:space="preserve">1966; see also </w:t>
      </w:r>
      <w:proofErr w:type="spellStart"/>
      <w:r w:rsidRPr="00DF5FEC">
        <w:t>Straškraba</w:t>
      </w:r>
      <w:proofErr w:type="spellEnd"/>
      <w:r w:rsidRPr="00DF5FEC">
        <w:t xml:space="preserve"> and </w:t>
      </w:r>
      <w:proofErr w:type="spellStart"/>
      <w:r w:rsidRPr="00DF5FEC">
        <w:t>Gnauck</w:t>
      </w:r>
      <w:proofErr w:type="spellEnd"/>
      <w:r w:rsidRPr="00DF5FEC">
        <w:t xml:space="preserve">, 1985).   The shape parameter </w:t>
      </w:r>
      <w:r w:rsidRPr="00DF5FEC">
        <w:rPr>
          <w:i/>
          <w:iCs/>
        </w:rPr>
        <w:t>P</w:t>
      </w:r>
      <w:r w:rsidRPr="00DF5FEC">
        <w:t xml:space="preserve"> (</w:t>
      </w:r>
      <w:proofErr w:type="spellStart"/>
      <w:r w:rsidRPr="00DF5FEC">
        <w:t>Junge</w:t>
      </w:r>
      <w:proofErr w:type="spellEnd"/>
      <w:r w:rsidRPr="00DF5FEC">
        <w:t xml:space="preserve">, 1966) characterizes the site, with a shape that is indicated by the ratio of mean to maximum </w:t>
      </w:r>
      <w:proofErr w:type="gramStart"/>
      <w:r w:rsidRPr="00DF5FEC">
        <w:t>depth.:</w:t>
      </w:r>
      <w:proofErr w:type="gramEnd"/>
    </w:p>
    <w:p w:rsidR="00B80892" w:rsidRPr="00DF5FEC" w:rsidRDefault="00B80892" w:rsidP="00B80892">
      <w:pPr>
        <w:widowControl/>
      </w:pPr>
    </w:p>
    <w:p w:rsidR="00B80892" w:rsidRPr="00DF5FEC" w:rsidRDefault="00B80892" w:rsidP="00B80892">
      <w:pPr>
        <w:tabs>
          <w:tab w:val="center" w:pos="4680"/>
          <w:tab w:val="right" w:pos="9360"/>
        </w:tabs>
        <w:jc w:val="center"/>
      </w:pPr>
      <w:r>
        <w:tab/>
      </w:r>
      <w:r w:rsidRPr="00DF5FEC">
        <w:rPr>
          <w:position w:val="-24"/>
        </w:rPr>
        <w:pict>
          <v:shape id="_x0000_i1035" type="#_x0000_t75" style="width:105.25pt;height:30.85pt">
            <v:imagedata r:id="rId17" o:title=""/>
          </v:shape>
        </w:pict>
      </w:r>
      <w:r>
        <w:tab/>
      </w:r>
      <w:bookmarkStart w:id="12" w:name="PShape"/>
      <w:r w:rsidRPr="005E1767">
        <w:rPr>
          <w:b/>
        </w:rPr>
        <w:t>(</w:t>
      </w:r>
      <w:r>
        <w:rPr>
          <w:b/>
          <w:noProof/>
        </w:rPr>
        <w:t>8</w:t>
      </w:r>
      <w:r w:rsidRPr="005E1767">
        <w:rPr>
          <w:b/>
        </w:rPr>
        <w:t>)</w:t>
      </w:r>
      <w:bookmarkEnd w:id="12"/>
      <w:r>
        <w:tab/>
      </w:r>
    </w:p>
    <w:p w:rsidR="00B80892" w:rsidRPr="00DF5FEC" w:rsidRDefault="00B80892" w:rsidP="00B80892">
      <w:pPr>
        <w:widowControl/>
      </w:pPr>
      <w:r w:rsidRPr="00DF5FEC">
        <w:t>Where:</w:t>
      </w:r>
    </w:p>
    <w:p w:rsidR="00B80892" w:rsidRPr="007C5358" w:rsidRDefault="00B80892" w:rsidP="00B80892">
      <w:pPr>
        <w:widowControl/>
        <w:tabs>
          <w:tab w:val="left" w:pos="-1440"/>
          <w:tab w:val="left" w:pos="2160"/>
        </w:tabs>
        <w:ind w:left="2880" w:hanging="2160"/>
        <w:rPr>
          <w:iCs/>
        </w:rPr>
      </w:pPr>
      <w:proofErr w:type="spellStart"/>
      <w:r w:rsidRPr="00DF5FEC">
        <w:rPr>
          <w:i/>
          <w:iCs/>
        </w:rPr>
        <w:t>ZMean</w:t>
      </w:r>
      <w:proofErr w:type="spellEnd"/>
      <w:r w:rsidRPr="002E3F5E">
        <w:rPr>
          <w:i/>
          <w:iCs/>
        </w:rPr>
        <w:tab/>
      </w:r>
      <w:r w:rsidRPr="007C5358">
        <w:rPr>
          <w:iCs/>
        </w:rPr>
        <w:t>=</w:t>
      </w:r>
      <w:r w:rsidRPr="007C5358">
        <w:rPr>
          <w:iCs/>
        </w:rPr>
        <w:tab/>
        <w:t>mean depth (m);</w:t>
      </w:r>
    </w:p>
    <w:p w:rsidR="00B80892" w:rsidRPr="007C5358" w:rsidRDefault="00B80892" w:rsidP="00B80892">
      <w:pPr>
        <w:widowControl/>
        <w:tabs>
          <w:tab w:val="left" w:pos="-1440"/>
          <w:tab w:val="left" w:pos="2160"/>
        </w:tabs>
        <w:ind w:left="2880" w:hanging="2160"/>
        <w:rPr>
          <w:iCs/>
        </w:rPr>
      </w:pPr>
      <w:proofErr w:type="spellStart"/>
      <w:r w:rsidRPr="00DF5FEC">
        <w:rPr>
          <w:i/>
          <w:iCs/>
        </w:rPr>
        <w:t>ZMax</w:t>
      </w:r>
      <w:proofErr w:type="spellEnd"/>
      <w:r w:rsidRPr="002E3F5E">
        <w:rPr>
          <w:i/>
          <w:iCs/>
        </w:rPr>
        <w:tab/>
      </w:r>
      <w:r w:rsidRPr="007C5358">
        <w:rPr>
          <w:iCs/>
        </w:rPr>
        <w:t>=</w:t>
      </w:r>
      <w:r w:rsidRPr="007C5358">
        <w:rPr>
          <w:iCs/>
        </w:rPr>
        <w:tab/>
        <w:t>maximum depth (m); and</w:t>
      </w:r>
    </w:p>
    <w:p w:rsidR="00B80892" w:rsidRPr="007C5358" w:rsidRDefault="00B80892" w:rsidP="00B80892">
      <w:pPr>
        <w:widowControl/>
        <w:tabs>
          <w:tab w:val="left" w:pos="-1440"/>
          <w:tab w:val="left" w:pos="2160"/>
        </w:tabs>
        <w:ind w:left="2880" w:hanging="2160"/>
        <w:rPr>
          <w:iCs/>
        </w:rPr>
      </w:pPr>
      <w:r w:rsidRPr="00DF5FEC">
        <w:rPr>
          <w:i/>
          <w:iCs/>
        </w:rPr>
        <w:t>P</w:t>
      </w:r>
      <w:r w:rsidRPr="002E3F5E">
        <w:rPr>
          <w:i/>
          <w:iCs/>
        </w:rPr>
        <w:tab/>
      </w:r>
      <w:r w:rsidRPr="007C5358">
        <w:rPr>
          <w:iCs/>
        </w:rPr>
        <w:t>=</w:t>
      </w:r>
      <w:r w:rsidRPr="007C5358">
        <w:rPr>
          <w:iCs/>
        </w:rPr>
        <w:tab/>
        <w:t>characterizing parameter for shape (unitless); P is constrained between -1.0 and 1.0</w:t>
      </w:r>
    </w:p>
    <w:p w:rsidR="00B80892" w:rsidRPr="00DF5FEC" w:rsidRDefault="00B80892" w:rsidP="00B80892">
      <w:pPr>
        <w:widowControl/>
      </w:pPr>
    </w:p>
    <w:p w:rsidR="00B80892" w:rsidRPr="00DF5FEC" w:rsidRDefault="00B80892" w:rsidP="00B80892">
      <w:pPr>
        <w:widowControl/>
      </w:pPr>
      <w:r w:rsidRPr="00DF5FEC">
        <w:t xml:space="preserve">Shallow constructed ponds and ditches may be approximated by an ellipsoid where </w:t>
      </w:r>
      <w:r w:rsidRPr="00DF5FEC">
        <w:rPr>
          <w:i/>
          <w:iCs/>
        </w:rPr>
        <w:t>Z/</w:t>
      </w:r>
      <w:proofErr w:type="spellStart"/>
      <w:r w:rsidRPr="00DF5FEC">
        <w:rPr>
          <w:i/>
          <w:iCs/>
        </w:rPr>
        <w:t>ZMax</w:t>
      </w:r>
      <w:proofErr w:type="spellEnd"/>
      <w:r w:rsidRPr="00DF5FEC">
        <w:t xml:space="preserve"> = 0.6 and </w:t>
      </w:r>
      <w:r w:rsidRPr="00DF5FEC">
        <w:rPr>
          <w:i/>
          <w:iCs/>
        </w:rPr>
        <w:t xml:space="preserve">P = </w:t>
      </w:r>
      <w:r w:rsidRPr="00DF5FEC">
        <w:t xml:space="preserve">0.6.  Reservoirs and rivers generally are extreme elliptic sinusoids with values of </w:t>
      </w:r>
      <w:r w:rsidRPr="00DF5FEC">
        <w:rPr>
          <w:i/>
          <w:iCs/>
        </w:rPr>
        <w:t>P</w:t>
      </w:r>
      <w:r w:rsidRPr="00DF5FEC">
        <w:t xml:space="preserve"> </w:t>
      </w:r>
      <w:r w:rsidRPr="00DF5FEC">
        <w:lastRenderedPageBreak/>
        <w:t xml:space="preserve">constrained to -1.0.  Lakes may be either elliptic sinusoids, with </w:t>
      </w:r>
      <w:r w:rsidRPr="00DF5FEC">
        <w:rPr>
          <w:i/>
          <w:iCs/>
        </w:rPr>
        <w:t xml:space="preserve">P </w:t>
      </w:r>
      <w:r w:rsidRPr="00DF5FEC">
        <w:t xml:space="preserve">between 0.0 and -1.0, or elliptic hyperboloids with </w:t>
      </w:r>
      <w:r w:rsidRPr="00DF5FEC">
        <w:rPr>
          <w:i/>
          <w:iCs/>
        </w:rPr>
        <w:t>P</w:t>
      </w:r>
      <w:r w:rsidRPr="00DF5FEC">
        <w:t xml:space="preserve"> between 0.0 and 1.0.  Not all water bodies fit the elliptic shapes, but the model generally is not sensitive to the deviations. </w:t>
      </w:r>
    </w:p>
    <w:p w:rsidR="00B80892" w:rsidRPr="00DF5FEC" w:rsidRDefault="00B80892" w:rsidP="00B80892">
      <w:pPr>
        <w:widowControl/>
      </w:pPr>
    </w:p>
    <w:p w:rsidR="00B80892" w:rsidRPr="00DF5FEC" w:rsidRDefault="00B80892" w:rsidP="00B80892">
      <w:pPr>
        <w:widowControl/>
      </w:pPr>
      <w:r w:rsidRPr="00DF5FEC">
        <w:t>Based on these relationships, fractions of volumes and areas can be determined for any given depth (</w:t>
      </w:r>
      <w:proofErr w:type="spellStart"/>
      <w:r w:rsidRPr="00DF5FEC">
        <w:t>Junge</w:t>
      </w:r>
      <w:proofErr w:type="spellEnd"/>
      <w:r w:rsidRPr="00DF5FEC">
        <w:t xml:space="preserve">, 1966).  The </w:t>
      </w:r>
      <w:proofErr w:type="spellStart"/>
      <w:r w:rsidRPr="00DF5FEC">
        <w:rPr>
          <w:i/>
          <w:iCs/>
        </w:rPr>
        <w:t>AreaFrac</w:t>
      </w:r>
      <w:proofErr w:type="spellEnd"/>
      <w:r w:rsidRPr="00DF5FEC">
        <w:t xml:space="preserve"> function returns the fraction of surface area that is at depth </w:t>
      </w:r>
      <w:r w:rsidRPr="00DF5FEC">
        <w:rPr>
          <w:i/>
          <w:iCs/>
        </w:rPr>
        <w:t>Z</w:t>
      </w:r>
      <w:r w:rsidRPr="00DF5FEC">
        <w:t xml:space="preserve"> given </w:t>
      </w:r>
      <w:proofErr w:type="spellStart"/>
      <w:r w:rsidRPr="00DF5FEC">
        <w:rPr>
          <w:i/>
          <w:iCs/>
        </w:rPr>
        <w:t>Zmax</w:t>
      </w:r>
      <w:proofErr w:type="spellEnd"/>
      <w:r w:rsidRPr="00DF5FEC">
        <w:t xml:space="preserve"> and </w:t>
      </w:r>
      <w:r w:rsidRPr="00DF5FEC">
        <w:rPr>
          <w:i/>
          <w:iCs/>
        </w:rPr>
        <w:t>P</w:t>
      </w:r>
      <w:r w:rsidRPr="00DF5FEC">
        <w:t>, which defines the morphometry of the water body.  For example, if the water body were an inverted cone, when horizontal slices were made through the cone looking down from the top one could see both the surface area and the water/sediment boundary where the slice was made.  This would look like a circle within a circle, or a donut (</w:t>
      </w:r>
      <w:r>
        <w:t xml:space="preserve">Figure </w:t>
      </w:r>
      <w:r>
        <w:rPr>
          <w:noProof/>
        </w:rPr>
        <w:t>36</w:t>
      </w:r>
      <w:r w:rsidRPr="00DF5FEC">
        <w:t xml:space="preserve">).  </w:t>
      </w:r>
      <w:proofErr w:type="spellStart"/>
      <w:r w:rsidRPr="00DF5FEC">
        <w:rPr>
          <w:i/>
          <w:iCs/>
        </w:rPr>
        <w:t>AreaFrac</w:t>
      </w:r>
      <w:proofErr w:type="spellEnd"/>
      <w:r w:rsidRPr="00DF5FEC">
        <w:t xml:space="preserve"> calculates the fraction that is the donut (not the donut hole).  To get the donut hole, 1 - </w:t>
      </w:r>
      <w:proofErr w:type="spellStart"/>
      <w:r w:rsidRPr="00DF5FEC">
        <w:rPr>
          <w:i/>
          <w:iCs/>
        </w:rPr>
        <w:t>AreaFrac</w:t>
      </w:r>
      <w:proofErr w:type="spellEnd"/>
      <w:r w:rsidRPr="00DF5FEC">
        <w:t xml:space="preserve"> is used.</w:t>
      </w:r>
    </w:p>
    <w:p w:rsidR="00B80892" w:rsidRPr="00DF5FEC" w:rsidRDefault="00B80892" w:rsidP="00B80892">
      <w:pPr>
        <w:widowControl/>
      </w:pPr>
    </w:p>
    <w:p w:rsidR="00B80892" w:rsidRPr="00DF5FEC" w:rsidRDefault="00B80892" w:rsidP="00B80892">
      <w:pPr>
        <w:tabs>
          <w:tab w:val="center" w:pos="4680"/>
          <w:tab w:val="right" w:pos="9360"/>
        </w:tabs>
        <w:jc w:val="center"/>
      </w:pPr>
      <w:r>
        <w:tab/>
      </w:r>
      <w:r w:rsidRPr="00DF5FEC">
        <w:rPr>
          <w:position w:val="-24"/>
        </w:rPr>
        <w:pict>
          <v:shape id="_x0000_i1034" type="#_x0000_t75" style="width:200.95pt;height:30.85pt">
            <v:imagedata r:id="rId18" o:title=""/>
          </v:shape>
        </w:pict>
      </w:r>
      <w:r>
        <w:tab/>
      </w:r>
      <w:bookmarkStart w:id="13" w:name="AreaFrac"/>
      <w:r w:rsidRPr="005E1767">
        <w:rPr>
          <w:b/>
        </w:rPr>
        <w:t>(</w:t>
      </w:r>
      <w:r>
        <w:rPr>
          <w:b/>
          <w:noProof/>
        </w:rPr>
        <w:t>9</w:t>
      </w:r>
      <w:r w:rsidRPr="005E1767">
        <w:rPr>
          <w:b/>
        </w:rPr>
        <w:t>)</w:t>
      </w:r>
      <w:bookmarkEnd w:id="13"/>
      <w:r>
        <w:tab/>
      </w:r>
    </w:p>
    <w:p w:rsidR="00B80892" w:rsidRPr="00DF5FEC" w:rsidRDefault="00B80892" w:rsidP="00B80892">
      <w:pPr>
        <w:widowControl/>
      </w:pPr>
    </w:p>
    <w:p w:rsidR="00B80892" w:rsidRPr="00DF5FEC" w:rsidRDefault="00B80892" w:rsidP="00B80892">
      <w:pPr>
        <w:tabs>
          <w:tab w:val="center" w:pos="4680"/>
          <w:tab w:val="right" w:pos="9360"/>
        </w:tabs>
        <w:jc w:val="center"/>
      </w:pPr>
      <w:r>
        <w:tab/>
      </w:r>
      <w:r w:rsidRPr="00DF5FEC">
        <w:rPr>
          <w:position w:val="-24"/>
        </w:rPr>
        <w:pict>
          <v:shape id="_x0000_i1033" type="#_x0000_t75" style="width:321.25pt;height:45.1pt">
            <v:imagedata r:id="rId19" o:title=""/>
          </v:shape>
        </w:pict>
      </w:r>
      <w:r>
        <w:tab/>
      </w:r>
      <w:bookmarkStart w:id="14" w:name="VolFrac"/>
      <w:r w:rsidRPr="005E1767">
        <w:rPr>
          <w:b/>
        </w:rPr>
        <w:t>(</w:t>
      </w:r>
      <w:r>
        <w:rPr>
          <w:b/>
          <w:noProof/>
        </w:rPr>
        <w:t>10</w:t>
      </w:r>
      <w:r w:rsidRPr="005E1767">
        <w:rPr>
          <w:b/>
        </w:rPr>
        <w:t>)</w:t>
      </w:r>
      <w:bookmarkEnd w:id="14"/>
      <w:r>
        <w:tab/>
      </w:r>
    </w:p>
    <w:p w:rsidR="00B80892" w:rsidRDefault="00B80892" w:rsidP="00B80892">
      <w:pPr>
        <w:widowControl/>
      </w:pPr>
    </w:p>
    <w:p w:rsidR="00B80892" w:rsidRPr="00DF5FEC" w:rsidRDefault="00B80892" w:rsidP="00B80892">
      <w:pPr>
        <w:widowControl/>
      </w:pPr>
      <w:proofErr w:type="gramStart"/>
      <w:r w:rsidRPr="00DF5FEC">
        <w:t>where</w:t>
      </w:r>
      <w:proofErr w:type="gramEnd"/>
      <w:r w:rsidRPr="00DF5FEC">
        <w:t>:</w:t>
      </w:r>
    </w:p>
    <w:p w:rsidR="00B80892" w:rsidRPr="00DF5FEC" w:rsidRDefault="00B80892" w:rsidP="00B80892">
      <w:pPr>
        <w:widowControl/>
        <w:ind w:left="2880" w:hanging="2160"/>
      </w:pPr>
      <w:proofErr w:type="spellStart"/>
      <w:r w:rsidRPr="00DF5FEC">
        <w:rPr>
          <w:i/>
          <w:iCs/>
        </w:rPr>
        <w:t>AreaFrac</w:t>
      </w:r>
      <w:proofErr w:type="spellEnd"/>
      <w:r w:rsidRPr="00DF5FEC">
        <w:rPr>
          <w:i/>
          <w:iCs/>
        </w:rPr>
        <w:tab/>
        <w:t>=</w:t>
      </w:r>
      <w:r w:rsidRPr="00DF5FEC">
        <w:tab/>
        <w:t>fraction of area of site above given depth (unitless);</w:t>
      </w:r>
    </w:p>
    <w:p w:rsidR="00B80892" w:rsidRPr="00DF5FEC" w:rsidRDefault="00B80892" w:rsidP="00B80892">
      <w:pPr>
        <w:widowControl/>
        <w:ind w:left="2880" w:hanging="2160"/>
      </w:pPr>
      <w:proofErr w:type="spellStart"/>
      <w:r w:rsidRPr="00DF5FEC">
        <w:rPr>
          <w:i/>
          <w:iCs/>
        </w:rPr>
        <w:t>VolFrac</w:t>
      </w:r>
      <w:proofErr w:type="spellEnd"/>
      <w:r w:rsidRPr="00DF5FEC">
        <w:tab/>
        <w:t>=</w:t>
      </w:r>
      <w:r w:rsidRPr="00DF5FEC">
        <w:tab/>
        <w:t>fraction of volume of site above given depth (unitless); and</w:t>
      </w:r>
    </w:p>
    <w:p w:rsidR="00B80892" w:rsidRPr="00DF5FEC" w:rsidRDefault="00B80892" w:rsidP="00B80892">
      <w:pPr>
        <w:widowControl/>
        <w:ind w:left="2880" w:hanging="2160"/>
      </w:pPr>
      <w:r w:rsidRPr="00DF5FEC">
        <w:rPr>
          <w:i/>
          <w:iCs/>
        </w:rPr>
        <w:t>Z</w:t>
      </w:r>
      <w:r w:rsidRPr="00DF5FEC">
        <w:tab/>
        <w:t>=</w:t>
      </w:r>
      <w:r w:rsidRPr="00DF5FEC">
        <w:tab/>
        <w:t>depth of interest (m).</w:t>
      </w:r>
    </w:p>
    <w:p w:rsidR="00B80892" w:rsidRPr="00DF5FEC" w:rsidRDefault="00B80892" w:rsidP="00B80892">
      <w:pPr>
        <w:widowControl/>
      </w:pPr>
    </w:p>
    <w:p w:rsidR="00B80892" w:rsidRDefault="00B80892" w:rsidP="00B80892">
      <w:r w:rsidRPr="00DF5FEC">
        <w:t xml:space="preserve">For example, the fraction of the volume that is epilimnion can be computed by setting depth </w:t>
      </w:r>
      <w:r w:rsidRPr="00DF5FEC">
        <w:rPr>
          <w:i/>
          <w:iCs/>
        </w:rPr>
        <w:t>Z</w:t>
      </w:r>
      <w:r w:rsidRPr="00DF5FEC">
        <w:t xml:space="preserve"> to the mixing depth. Furthermore, by setting </w:t>
      </w:r>
      <w:r w:rsidRPr="00DF5FEC">
        <w:rPr>
          <w:i/>
          <w:iCs/>
        </w:rPr>
        <w:t>Z</w:t>
      </w:r>
      <w:r w:rsidRPr="00DF5FEC">
        <w:t xml:space="preserve"> to the depth of the euphotic zone,</w:t>
      </w:r>
      <w:r>
        <w:t xml:space="preserve"> </w:t>
      </w:r>
      <w:r w:rsidRPr="00DF5FEC">
        <w:t>where primary production exceeds respiration, the fraction of the area available for colonization by macrophytes and periphyton can be computed:</w:t>
      </w:r>
    </w:p>
    <w:p w:rsidR="00B80892" w:rsidRPr="00DF5FEC" w:rsidRDefault="00B80892" w:rsidP="00B80892">
      <w:pPr>
        <w:widowControl/>
      </w:pPr>
    </w:p>
    <w:p w:rsidR="00B80892" w:rsidRPr="00DF5FEC" w:rsidRDefault="00B80892" w:rsidP="00B80892">
      <w:pPr>
        <w:tabs>
          <w:tab w:val="center" w:pos="4680"/>
          <w:tab w:val="right" w:pos="9360"/>
        </w:tabs>
        <w:jc w:val="center"/>
      </w:pPr>
      <w:r>
        <w:tab/>
      </w:r>
      <w:r w:rsidRPr="00DF5FEC">
        <w:rPr>
          <w:position w:val="-28"/>
        </w:rPr>
        <w:pict>
          <v:shape id="_x0000_i1032" type="#_x0000_t75" style="width:234.2pt;height:37.2pt">
            <v:imagedata r:id="rId20" o:title=""/>
          </v:shape>
        </w:pict>
      </w:r>
      <w:r>
        <w:tab/>
      </w:r>
      <w:bookmarkStart w:id="15" w:name="FracLit"/>
      <w:r w:rsidRPr="005E1767">
        <w:rPr>
          <w:b/>
        </w:rPr>
        <w:t>(</w:t>
      </w:r>
      <w:r>
        <w:rPr>
          <w:b/>
          <w:noProof/>
        </w:rPr>
        <w:t>11</w:t>
      </w:r>
      <w:r w:rsidRPr="005E1767">
        <w:rPr>
          <w:b/>
        </w:rPr>
        <w:t>)</w:t>
      </w:r>
      <w:bookmarkEnd w:id="15"/>
      <w:r>
        <w:tab/>
      </w:r>
    </w:p>
    <w:p w:rsidR="00B80892" w:rsidRPr="00DF5FEC" w:rsidRDefault="00B80892" w:rsidP="00B80892">
      <w:pPr>
        <w:widowControl/>
      </w:pPr>
    </w:p>
    <w:p w:rsidR="00B80892" w:rsidRPr="00DF5FEC" w:rsidRDefault="00B80892" w:rsidP="00B80892">
      <w:pPr>
        <w:widowControl/>
      </w:pPr>
      <w:r w:rsidRPr="00DF5FEC">
        <w:t>A relatively deep, flat-bottomed basin would have a small littoral area and a large sublittoral area (</w:t>
      </w:r>
      <w:r>
        <w:t xml:space="preserve">Figure </w:t>
      </w:r>
      <w:r>
        <w:rPr>
          <w:noProof/>
        </w:rPr>
        <w:t>36</w:t>
      </w:r>
      <w:r w:rsidRPr="00DF5FEC">
        <w:t>).</w:t>
      </w:r>
    </w:p>
    <w:p w:rsidR="00B80892" w:rsidRPr="00DF5FEC" w:rsidRDefault="00B80892" w:rsidP="00B80892">
      <w:pPr>
        <w:widowControl/>
      </w:pPr>
    </w:p>
    <w:p w:rsidR="00B80892" w:rsidRDefault="00B80892" w:rsidP="00B80892">
      <w:pPr>
        <w:pStyle w:val="Caption"/>
        <w:keepNext/>
        <w:jc w:val="center"/>
      </w:pPr>
      <w:bookmarkStart w:id="16" w:name="_Ref106181657"/>
      <w:proofErr w:type="gramStart"/>
      <w:r>
        <w:t xml:space="preserve">Figure </w:t>
      </w:r>
      <w:r>
        <w:rPr>
          <w:noProof/>
        </w:rPr>
        <w:t>36</w:t>
      </w:r>
      <w:bookmarkEnd w:id="16"/>
      <w:r>
        <w:t>.</w:t>
      </w:r>
      <w:proofErr w:type="gramEnd"/>
      <w:r>
        <w:t xml:space="preserve">  </w:t>
      </w:r>
    </w:p>
    <w:p w:rsidR="00B80892" w:rsidRPr="00DF5FEC" w:rsidRDefault="00B80892" w:rsidP="00B80892">
      <w:pPr>
        <w:jc w:val="center"/>
      </w:pPr>
      <w:r>
        <w:rPr>
          <w:noProof/>
        </w:rPr>
        <w:drawing>
          <wp:inline distT="0" distB="0" distL="0" distR="0" wp14:anchorId="74B0A820" wp14:editId="382EC60B">
            <wp:extent cx="1266190" cy="1306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66190" cy="1306195"/>
                    </a:xfrm>
                    <a:prstGeom prst="rect">
                      <a:avLst/>
                    </a:prstGeom>
                    <a:noFill/>
                    <a:ln>
                      <a:noFill/>
                    </a:ln>
                  </pic:spPr>
                </pic:pic>
              </a:graphicData>
            </a:graphic>
          </wp:inline>
        </w:drawing>
      </w:r>
    </w:p>
    <w:p w:rsidR="00B80892" w:rsidRPr="00DF5FEC" w:rsidRDefault="00B80892" w:rsidP="00B80892">
      <w:pPr>
        <w:widowControl/>
      </w:pPr>
    </w:p>
    <w:p w:rsidR="00B80892" w:rsidRPr="00DF5FEC" w:rsidRDefault="00B80892" w:rsidP="00B80892">
      <w:pPr>
        <w:widowControl/>
      </w:pPr>
    </w:p>
    <w:p w:rsidR="00B80892" w:rsidRPr="00DF5FEC" w:rsidRDefault="00B80892" w:rsidP="00B80892">
      <w:pPr>
        <w:keepNext/>
        <w:keepLines/>
        <w:widowControl/>
      </w:pPr>
    </w:p>
    <w:p w:rsidR="00B80892" w:rsidRDefault="00B80892" w:rsidP="00B80892">
      <w:pPr>
        <w:keepNext/>
        <w:keepLines/>
        <w:widowControl/>
      </w:pPr>
      <w:r w:rsidRPr="00DF5FEC">
        <w:t>If the site is a</w:t>
      </w:r>
      <w:r>
        <w:t>n</w:t>
      </w:r>
      <w:r w:rsidRPr="00DF5FEC">
        <w:t xml:space="preserve"> artificial enclosure then the available area is increased accordingly:</w:t>
      </w:r>
    </w:p>
    <w:p w:rsidR="00B80892" w:rsidRPr="00DF5FEC" w:rsidRDefault="00B80892" w:rsidP="00B80892">
      <w:pPr>
        <w:keepNext/>
        <w:keepLines/>
        <w:widowControl/>
      </w:pPr>
    </w:p>
    <w:p w:rsidR="00B80892" w:rsidRPr="00DF5FEC" w:rsidRDefault="00B80892" w:rsidP="00B80892">
      <w:pPr>
        <w:tabs>
          <w:tab w:val="center" w:pos="4680"/>
          <w:tab w:val="right" w:pos="9360"/>
        </w:tabs>
        <w:jc w:val="center"/>
      </w:pPr>
      <w:r>
        <w:tab/>
      </w:r>
      <w:r w:rsidRPr="00B051B6">
        <w:rPr>
          <w:position w:val="-78"/>
        </w:rPr>
        <w:pict>
          <v:shape id="_x0000_i1031" type="#_x0000_t75" style="width:230.25pt;height:101.25pt">
            <v:imagedata r:id="rId22" o:title=""/>
          </v:shape>
        </w:pict>
      </w:r>
      <w:r>
        <w:tab/>
      </w:r>
      <w:bookmarkStart w:id="17" w:name="FracLit_Limnocorral"/>
      <w:r w:rsidRPr="005E1767">
        <w:rPr>
          <w:b/>
        </w:rPr>
        <w:t>(</w:t>
      </w:r>
      <w:r>
        <w:rPr>
          <w:b/>
          <w:noProof/>
        </w:rPr>
        <w:t>12</w:t>
      </w:r>
      <w:r w:rsidRPr="005E1767">
        <w:rPr>
          <w:b/>
        </w:rPr>
        <w:t>)</w:t>
      </w:r>
      <w:bookmarkEnd w:id="17"/>
      <w:r>
        <w:tab/>
      </w:r>
    </w:p>
    <w:p w:rsidR="00B80892" w:rsidRPr="00DF5FEC" w:rsidRDefault="00B80892" w:rsidP="00B80892">
      <w:pPr>
        <w:keepLines/>
        <w:widowControl/>
      </w:pPr>
      <w:proofErr w:type="gramStart"/>
      <w:r w:rsidRPr="00DF5FEC">
        <w:t>where</w:t>
      </w:r>
      <w:proofErr w:type="gramEnd"/>
      <w:r w:rsidRPr="00DF5FEC">
        <w:t>:</w:t>
      </w:r>
    </w:p>
    <w:p w:rsidR="00B80892" w:rsidRPr="00DF5FEC" w:rsidRDefault="00B80892" w:rsidP="00B80892">
      <w:pPr>
        <w:widowControl/>
        <w:tabs>
          <w:tab w:val="left" w:pos="-1440"/>
          <w:tab w:val="left" w:pos="2430"/>
        </w:tabs>
        <w:ind w:left="2880" w:hanging="2160"/>
      </w:pPr>
      <w:proofErr w:type="spellStart"/>
      <w:r w:rsidRPr="00DF5FEC">
        <w:rPr>
          <w:i/>
          <w:iCs/>
        </w:rPr>
        <w:t>FracLittoral</w:t>
      </w:r>
      <w:proofErr w:type="spellEnd"/>
      <w:r w:rsidRPr="00DF5FEC">
        <w:tab/>
        <w:t>=</w:t>
      </w:r>
      <w:r w:rsidRPr="00DF5FEC">
        <w:tab/>
        <w:t>fraction of site area that is within the euphotic zone (unitless);</w:t>
      </w:r>
    </w:p>
    <w:p w:rsidR="00B80892" w:rsidRPr="00DF5FEC" w:rsidRDefault="00B80892" w:rsidP="00B80892">
      <w:pPr>
        <w:widowControl/>
        <w:tabs>
          <w:tab w:val="left" w:pos="-1440"/>
          <w:tab w:val="left" w:pos="2430"/>
        </w:tabs>
        <w:ind w:left="2880" w:hanging="2160"/>
      </w:pPr>
      <w:proofErr w:type="spellStart"/>
      <w:r w:rsidRPr="00DF5FEC">
        <w:rPr>
          <w:i/>
          <w:iCs/>
        </w:rPr>
        <w:t>ZEuphotic</w:t>
      </w:r>
      <w:proofErr w:type="spellEnd"/>
      <w:r w:rsidRPr="00DF5FEC">
        <w:tab/>
        <w:t>=</w:t>
      </w:r>
      <w:r w:rsidRPr="00DF5FEC">
        <w:tab/>
        <w:t xml:space="preserve">depth of the euphotic zone, </w:t>
      </w:r>
      <w:r>
        <w:t xml:space="preserve">is assumed to be 1% of surface light and </w:t>
      </w:r>
      <w:r w:rsidRPr="00DF5FEC">
        <w:t xml:space="preserve">calculated as </w:t>
      </w:r>
      <w:r>
        <w:t>4.605/</w:t>
      </w:r>
      <w:r w:rsidRPr="00AA0352">
        <w:rPr>
          <w:i/>
        </w:rPr>
        <w:t>Extinct</w:t>
      </w:r>
      <w:r w:rsidRPr="00DF5FEC">
        <w:t xml:space="preserve"> (m)</w:t>
      </w:r>
      <w:r>
        <w:t xml:space="preserve"> see </w:t>
      </w:r>
      <w:r w:rsidRPr="00AF3A93">
        <w:rPr>
          <w:b/>
        </w:rPr>
        <w:t>(</w:t>
      </w:r>
      <w:r>
        <w:rPr>
          <w:b/>
          <w:noProof/>
        </w:rPr>
        <w:t>40</w:t>
      </w:r>
      <w:r w:rsidRPr="00AF3A93">
        <w:rPr>
          <w:b/>
        </w:rPr>
        <w:t>)</w:t>
      </w:r>
      <w:r w:rsidRPr="00DF5FEC">
        <w:t xml:space="preserve">; </w:t>
      </w:r>
    </w:p>
    <w:p w:rsidR="00B80892" w:rsidRPr="00DF5FEC" w:rsidRDefault="00B80892" w:rsidP="00B80892">
      <w:pPr>
        <w:widowControl/>
        <w:tabs>
          <w:tab w:val="left" w:pos="-1440"/>
          <w:tab w:val="left" w:pos="2430"/>
        </w:tabs>
        <w:ind w:left="2880" w:hanging="2160"/>
      </w:pPr>
      <w:r w:rsidRPr="00DF5FEC">
        <w:rPr>
          <w:i/>
          <w:iCs/>
        </w:rPr>
        <w:t>Area</w:t>
      </w:r>
      <w:r w:rsidRPr="00DF5FEC">
        <w:tab/>
        <w:t>=</w:t>
      </w:r>
      <w:r w:rsidRPr="00DF5FEC">
        <w:tab/>
        <w:t>site area (m</w:t>
      </w:r>
      <w:r w:rsidRPr="00DF5FEC">
        <w:rPr>
          <w:vertAlign w:val="superscript"/>
        </w:rPr>
        <w:t>2</w:t>
      </w:r>
      <w:r w:rsidRPr="00DF5FEC">
        <w:t>); and</w:t>
      </w:r>
    </w:p>
    <w:p w:rsidR="00B80892" w:rsidRPr="00DF5FEC" w:rsidRDefault="00B80892" w:rsidP="00B80892">
      <w:pPr>
        <w:widowControl/>
        <w:tabs>
          <w:tab w:val="left" w:pos="-1440"/>
          <w:tab w:val="left" w:pos="2430"/>
        </w:tabs>
        <w:ind w:left="2880" w:hanging="2160"/>
      </w:pPr>
      <w:proofErr w:type="spellStart"/>
      <w:r>
        <w:rPr>
          <w:i/>
          <w:iCs/>
        </w:rPr>
        <w:t>Encl</w:t>
      </w:r>
      <w:r w:rsidRPr="00DF5FEC">
        <w:rPr>
          <w:i/>
          <w:iCs/>
        </w:rPr>
        <w:t>WallArea</w:t>
      </w:r>
      <w:proofErr w:type="spellEnd"/>
      <w:r>
        <w:tab/>
      </w:r>
      <w:r w:rsidRPr="00DF5FEC">
        <w:t>=</w:t>
      </w:r>
      <w:r w:rsidRPr="00DF5FEC">
        <w:tab/>
        <w:t xml:space="preserve">area of </w:t>
      </w:r>
      <w:r>
        <w:t>experimental enclosure’s</w:t>
      </w:r>
      <w:r w:rsidRPr="00DF5FEC">
        <w:t xml:space="preserve"> walls (m</w:t>
      </w:r>
      <w:r w:rsidRPr="00DF5FEC">
        <w:rPr>
          <w:vertAlign w:val="superscript"/>
        </w:rPr>
        <w:t>2</w:t>
      </w:r>
      <w:r w:rsidRPr="00DF5FEC">
        <w:t>).</w:t>
      </w:r>
    </w:p>
    <w:p w:rsidR="00B80892" w:rsidRPr="00DF5FEC" w:rsidRDefault="00B80892" w:rsidP="00B80892">
      <w:pPr>
        <w:widowControl/>
      </w:pPr>
    </w:p>
    <w:p w:rsidR="00B80892" w:rsidRPr="00DF5FEC" w:rsidRDefault="00B80892" w:rsidP="00B80892">
      <w:pPr>
        <w:widowControl/>
        <w:tabs>
          <w:tab w:val="left" w:pos="4590"/>
        </w:tabs>
        <w:rPr>
          <w:vanish/>
        </w:rPr>
      </w:pPr>
    </w:p>
    <w:p w:rsidR="00B80892" w:rsidRPr="00826493" w:rsidRDefault="00B80892" w:rsidP="00B80892">
      <w:pPr>
        <w:pStyle w:val="Caption"/>
        <w:keepNext/>
        <w:tabs>
          <w:tab w:val="left" w:pos="4590"/>
        </w:tabs>
      </w:pPr>
      <w:proofErr w:type="gramStart"/>
      <w:r>
        <w:t xml:space="preserve">Figure </w:t>
      </w:r>
      <w:r>
        <w:rPr>
          <w:noProof/>
        </w:rPr>
        <w:t>37</w:t>
      </w:r>
      <w:r>
        <w:t>.</w:t>
      </w:r>
      <w:proofErr w:type="gramEnd"/>
      <w:r>
        <w:t xml:space="preserve">  </w:t>
      </w:r>
      <w:proofErr w:type="gramStart"/>
      <w:r w:rsidRPr="00826493">
        <w:rPr>
          <w:b w:val="0"/>
        </w:rPr>
        <w:t>Area as a function of depth</w:t>
      </w:r>
      <w:bookmarkStart w:id="18" w:name="_Ref130646971"/>
      <w:r>
        <w:rPr>
          <w:b w:val="0"/>
        </w:rPr>
        <w:tab/>
      </w:r>
      <w:r>
        <w:t xml:space="preserve">Figure </w:t>
      </w:r>
      <w:r>
        <w:rPr>
          <w:noProof/>
        </w:rPr>
        <w:t>38</w:t>
      </w:r>
      <w:bookmarkEnd w:id="18"/>
      <w:r>
        <w:t>.</w:t>
      </w:r>
      <w:proofErr w:type="gramEnd"/>
      <w:r>
        <w:t xml:space="preserve">  </w:t>
      </w:r>
      <w:r w:rsidRPr="00826493">
        <w:rPr>
          <w:b w:val="0"/>
        </w:rPr>
        <w:t>Volume as a function of depth</w:t>
      </w:r>
    </w:p>
    <w:p w:rsidR="00B80892" w:rsidRPr="00DF5FEC" w:rsidRDefault="00B80892" w:rsidP="00B80892">
      <w:pPr>
        <w:tabs>
          <w:tab w:val="left" w:pos="4590"/>
        </w:tabs>
      </w:pPr>
      <w:r>
        <w:rPr>
          <w:noProof/>
        </w:rPr>
        <w:drawing>
          <wp:inline distT="0" distB="0" distL="0" distR="0" wp14:anchorId="7570558E" wp14:editId="718F2650">
            <wp:extent cx="2743200" cy="205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cstate="print">
                      <a:extLst>
                        <a:ext uri="{28A0092B-C50C-407E-A947-70E740481C1C}">
                          <a14:useLocalDpi xmlns:a14="http://schemas.microsoft.com/office/drawing/2010/main" val="0"/>
                        </a:ext>
                      </a:extLst>
                    </a:blip>
                    <a:srcRect r="-4015" b="-4005"/>
                    <a:stretch>
                      <a:fillRect/>
                    </a:stretch>
                  </pic:blipFill>
                  <pic:spPr bwMode="auto">
                    <a:xfrm>
                      <a:off x="0" y="0"/>
                      <a:ext cx="2743200" cy="2059940"/>
                    </a:xfrm>
                    <a:prstGeom prst="rect">
                      <a:avLst/>
                    </a:prstGeom>
                    <a:noFill/>
                    <a:ln>
                      <a:noFill/>
                    </a:ln>
                  </pic:spPr>
                </pic:pic>
              </a:graphicData>
            </a:graphic>
          </wp:inline>
        </w:drawing>
      </w:r>
      <w:r>
        <w:tab/>
      </w:r>
      <w:r>
        <w:rPr>
          <w:noProof/>
        </w:rPr>
        <w:drawing>
          <wp:inline distT="0" distB="0" distL="0" distR="0" wp14:anchorId="1BBDC353" wp14:editId="59FB0F28">
            <wp:extent cx="2743200" cy="205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cstate="print">
                      <a:extLst>
                        <a:ext uri="{28A0092B-C50C-407E-A947-70E740481C1C}">
                          <a14:useLocalDpi xmlns:a14="http://schemas.microsoft.com/office/drawing/2010/main" val="0"/>
                        </a:ext>
                      </a:extLst>
                    </a:blip>
                    <a:srcRect r="-4015" b="-4005"/>
                    <a:stretch>
                      <a:fillRect/>
                    </a:stretch>
                  </pic:blipFill>
                  <pic:spPr bwMode="auto">
                    <a:xfrm>
                      <a:off x="0" y="0"/>
                      <a:ext cx="2743200" cy="2059940"/>
                    </a:xfrm>
                    <a:prstGeom prst="rect">
                      <a:avLst/>
                    </a:prstGeom>
                    <a:noFill/>
                    <a:ln>
                      <a:noFill/>
                    </a:ln>
                  </pic:spPr>
                </pic:pic>
              </a:graphicData>
            </a:graphic>
          </wp:inline>
        </w:drawing>
      </w:r>
    </w:p>
    <w:p w:rsidR="00B80892" w:rsidRPr="00DF5FEC" w:rsidRDefault="00B80892" w:rsidP="00B80892">
      <w:pPr>
        <w:widowControl/>
      </w:pPr>
    </w:p>
    <w:p w:rsidR="00B80892" w:rsidRDefault="00B80892" w:rsidP="00B80892">
      <w:pPr>
        <w:widowControl/>
        <w:outlineLvl w:val="0"/>
        <w:rPr>
          <w:bCs/>
        </w:rPr>
      </w:pPr>
      <w:r>
        <w:rPr>
          <w:bCs/>
        </w:rPr>
        <w:t>If a user wishes to model a simpler system, the bathymetric approximations may be bypassed in favor of a more rudimentary set of assumptions via an option in the “site data” screen.</w:t>
      </w:r>
    </w:p>
    <w:p w:rsidR="00B80892" w:rsidRDefault="00B80892" w:rsidP="00B80892">
      <w:pPr>
        <w:widowControl/>
        <w:outlineLvl w:val="0"/>
        <w:rPr>
          <w:bCs/>
        </w:rPr>
      </w:pPr>
    </w:p>
    <w:p w:rsidR="00B80892" w:rsidRDefault="00B80892" w:rsidP="00B80892">
      <w:pPr>
        <w:widowControl/>
        <w:outlineLvl w:val="0"/>
        <w:rPr>
          <w:bCs/>
        </w:rPr>
      </w:pPr>
      <w:r>
        <w:rPr>
          <w:bCs/>
        </w:rPr>
        <w:t>When the user chooses not to “use bathymetry”</w:t>
      </w:r>
    </w:p>
    <w:p w:rsidR="00B80892" w:rsidRDefault="00B80892" w:rsidP="00B80892">
      <w:pPr>
        <w:widowControl/>
        <w:outlineLvl w:val="0"/>
        <w:rPr>
          <w:bCs/>
        </w:rPr>
      </w:pPr>
    </w:p>
    <w:p w:rsidR="00B80892" w:rsidRDefault="00B80892" w:rsidP="00B80892">
      <w:pPr>
        <w:widowControl/>
        <w:numPr>
          <w:ilvl w:val="0"/>
          <w:numId w:val="2"/>
        </w:numPr>
        <w:outlineLvl w:val="0"/>
        <w:rPr>
          <w:bCs/>
        </w:rPr>
      </w:pPr>
      <w:r>
        <w:rPr>
          <w:bCs/>
        </w:rPr>
        <w:t>the system is assumed to have vertical walls;</w:t>
      </w:r>
    </w:p>
    <w:p w:rsidR="00B80892" w:rsidRDefault="00B80892" w:rsidP="00B80892">
      <w:pPr>
        <w:widowControl/>
        <w:numPr>
          <w:ilvl w:val="0"/>
          <w:numId w:val="2"/>
        </w:numPr>
        <w:outlineLvl w:val="0"/>
        <w:rPr>
          <w:bCs/>
        </w:rPr>
      </w:pPr>
      <w:r>
        <w:rPr>
          <w:bCs/>
        </w:rPr>
        <w:t>the system is assumed to have a constant area as a function of depth;</w:t>
      </w:r>
    </w:p>
    <w:p w:rsidR="00B80892" w:rsidRDefault="00B80892" w:rsidP="00B80892">
      <w:pPr>
        <w:widowControl/>
        <w:numPr>
          <w:ilvl w:val="0"/>
          <w:numId w:val="2"/>
        </w:numPr>
        <w:outlineLvl w:val="0"/>
        <w:rPr>
          <w:bCs/>
        </w:rPr>
      </w:pPr>
      <w:proofErr w:type="gramStart"/>
      <w:r>
        <w:rPr>
          <w:bCs/>
        </w:rPr>
        <w:t>the</w:t>
      </w:r>
      <w:proofErr w:type="gramEnd"/>
      <w:r>
        <w:rPr>
          <w:bCs/>
        </w:rPr>
        <w:t xml:space="preserve"> system’s depth may be calculated at any time as water volume divided by surface area.</w:t>
      </w:r>
    </w:p>
    <w:p w:rsidR="00B80892" w:rsidRDefault="00B80892" w:rsidP="00B80892">
      <w:pPr>
        <w:widowControl/>
        <w:outlineLvl w:val="0"/>
        <w:rPr>
          <w:bCs/>
        </w:rPr>
      </w:pPr>
    </w:p>
    <w:p w:rsidR="00B80892" w:rsidRDefault="00B80892" w:rsidP="00B80892">
      <w:pPr>
        <w:widowControl/>
        <w:outlineLvl w:val="0"/>
      </w:pPr>
      <w:r>
        <w:rPr>
          <w:bCs/>
        </w:rPr>
        <w:t>This option may be useful when linking data from other models to AQUATOX as the horizontal spatial domain of AQUATOX remains unchanged over time.  However, a system will not undergo dynamic stratification based on water temperature unless the more complex bathymetric approximations are utilized (</w:t>
      </w:r>
      <w:r w:rsidRPr="005E1767">
        <w:rPr>
          <w:b/>
        </w:rPr>
        <w:t>(</w:t>
      </w:r>
      <w:r>
        <w:rPr>
          <w:b/>
          <w:noProof/>
        </w:rPr>
        <w:t>8</w:t>
      </w:r>
      <w:r w:rsidRPr="005E1767">
        <w:rPr>
          <w:b/>
        </w:rPr>
        <w:t>)</w:t>
      </w:r>
      <w:r>
        <w:rPr>
          <w:bCs/>
        </w:rPr>
        <w:t xml:space="preserve"> to </w:t>
      </w:r>
      <w:r w:rsidRPr="005E1767">
        <w:rPr>
          <w:b/>
        </w:rPr>
        <w:t>(</w:t>
      </w:r>
      <w:r>
        <w:rPr>
          <w:b/>
          <w:noProof/>
        </w:rPr>
        <w:t>11</w:t>
      </w:r>
      <w:r w:rsidRPr="005E1767">
        <w:rPr>
          <w:b/>
        </w:rPr>
        <w:t>)</w:t>
      </w:r>
      <w:r>
        <w:rPr>
          <w:bCs/>
        </w:rPr>
        <w:t>).</w:t>
      </w:r>
    </w:p>
    <w:sectPr w:rsidR="00B8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0DC9"/>
    <w:multiLevelType w:val="hybridMultilevel"/>
    <w:tmpl w:val="1D0A72B8"/>
    <w:lvl w:ilvl="0" w:tplc="E592BD42">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173EA4"/>
    <w:multiLevelType w:val="hybridMultilevel"/>
    <w:tmpl w:val="CCA8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3E"/>
    <w:rsid w:val="00002D40"/>
    <w:rsid w:val="000038A8"/>
    <w:rsid w:val="000C1FF8"/>
    <w:rsid w:val="00105979"/>
    <w:rsid w:val="00193D43"/>
    <w:rsid w:val="001A277C"/>
    <w:rsid w:val="001F5F8D"/>
    <w:rsid w:val="0022655F"/>
    <w:rsid w:val="002F535B"/>
    <w:rsid w:val="00333704"/>
    <w:rsid w:val="00386BF5"/>
    <w:rsid w:val="00415DEE"/>
    <w:rsid w:val="004A2CB7"/>
    <w:rsid w:val="00580333"/>
    <w:rsid w:val="005D684E"/>
    <w:rsid w:val="00690AF1"/>
    <w:rsid w:val="00820383"/>
    <w:rsid w:val="00892CF1"/>
    <w:rsid w:val="00A7333E"/>
    <w:rsid w:val="00A776B4"/>
    <w:rsid w:val="00A97EE3"/>
    <w:rsid w:val="00B15C88"/>
    <w:rsid w:val="00B65B22"/>
    <w:rsid w:val="00B72BD0"/>
    <w:rsid w:val="00B80892"/>
    <w:rsid w:val="00CA0104"/>
    <w:rsid w:val="00D504BA"/>
    <w:rsid w:val="00D91403"/>
    <w:rsid w:val="00E51762"/>
    <w:rsid w:val="00EB3FBD"/>
    <w:rsid w:val="00F17031"/>
    <w:rsid w:val="00F349A6"/>
    <w:rsid w:val="00FD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wmf"/><Relationship Id="rId7" Type="http://schemas.openxmlformats.org/officeDocument/2006/relationships/image" Target="media/image2.wmf"/><Relationship Id="rId12" Type="http://schemas.openxmlformats.org/officeDocument/2006/relationships/image" Target="media/image7.pcz"/><Relationship Id="rId17" Type="http://schemas.openxmlformats.org/officeDocument/2006/relationships/image" Target="media/image12.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cz"/><Relationship Id="rId20"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8.png"/><Relationship Id="rId10" Type="http://schemas.openxmlformats.org/officeDocument/2006/relationships/image" Target="media/image5.pcz"/><Relationship Id="rId19"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pcz"/><Relationship Id="rId22"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BFF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Clough</dc:creator>
  <cp:keywords/>
  <dc:description/>
  <cp:lastModifiedBy>Jonathan Clough</cp:lastModifiedBy>
  <cp:revision>3</cp:revision>
  <dcterms:created xsi:type="dcterms:W3CDTF">2018-01-31T14:49:00Z</dcterms:created>
  <dcterms:modified xsi:type="dcterms:W3CDTF">2018-01-31T14:56:00Z</dcterms:modified>
</cp:coreProperties>
</file>