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52"/>
                <w:szCs w:val="52"/>
              </w:rPr>
              <w:t xml:space="preserve">INNER COMPASS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E8A020"/>
                <w:sz w:val="26"/>
                <w:szCs w:val="26"/>
              </w:rPr>
              <w:t xml:space="preserve">System-Prüf-Framework &amp; KG-Architektur</w:t>
            </w:r>
          </w:p>
          <w:p>
            <w:pPr>
              <w:spacing w:before="100"/>
              <w:jc w:val="center"/>
            </w:pPr>
            <w:r>
              <w:rPr>
                <w:rFonts w:ascii="Inter" w:cs="Inter" w:eastAsia="Inter" w:hAnsi="Inter"/>
                <w:i/>
                <w:iCs/>
                <w:color w:val="AACCE8"/>
                <w:sz w:val="20"/>
                <w:szCs w:val="20"/>
              </w:rPr>
              <w:t xml:space="preserve">Welche Daten kommen woher — für jedes Quellsystem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44444"/>
          <w:sz w:val="20"/>
          <w:szCs w:val="20"/>
        </w:rPr>
        <w:t xml:space="preserve">Dieses Framework definiert für jedes im Inner Compass verwendete Quellsystem, welche Daten aus Open-Source-Kits extrahierbar sind, welche aus Literatur-PDFs gewonnen werden müssen, und wie tief die jeweiligen Strukturen gehen. Es bildet die Grundlage für den Aufbau des Knowledge Graph in Supabase.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3A5C"/>
          <w:sz w:val="36"/>
          <w:szCs w:val="36"/>
        </w:rPr>
        <w:t xml:space="preserve">1. Die vier Datenkategorien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3880"/>
      </w:tblGrid>
      <w:tr>
        <w:tc>
          <w:tcPr>
            <w:tcW w:type="dxa" w:w="9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Kat.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38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22"/>
                <w:szCs w:val="22"/>
              </w:rPr>
              <w:t xml:space="preserve">K1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Numerisch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Grad-Grenzen, Positionen, Zeitzykluslängen — alles was rein mathematisch ist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2E7D32"/>
                <w:sz w:val="18"/>
                <w:szCs w:val="18"/>
              </w:rPr>
              <w:t xml:space="preserve">✅ Open Source Kit (automatisch)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22"/>
                <w:szCs w:val="22"/>
              </w:rPr>
              <w:t xml:space="preserve">K2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Strukturregeln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Gate-Kanal-Mapping, Typ-Logik, Exaltationen, Dignitäten, Haus-Kategorien — alles was für die Berechnung als Konstante im Kit-Code steckt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2E7D32"/>
                <w:sz w:val="18"/>
                <w:szCs w:val="18"/>
              </w:rPr>
              <w:t xml:space="preserve">✅ Open Source Kit (automatisch, im Code)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E65100"/>
                <w:sz w:val="22"/>
                <w:szCs w:val="22"/>
              </w:rPr>
              <w:t xml:space="preserve">K3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Gewichtungslogiken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Wenn-Dann-Regeln, Einflussstärken (z.B. 70%/30%), Kombinationsregeln — NUR in Lehrtexten beschrieben, nicht im Kit-Code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E65100"/>
                <w:sz w:val="18"/>
                <w:szCs w:val="18"/>
              </w:rPr>
              <w:t xml:space="preserve">⚠️ Literatur PDF → rules-Tabelle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C62828"/>
                <w:sz w:val="22"/>
                <w:szCs w:val="22"/>
              </w:rPr>
              <w:t xml:space="preserve">K4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Bedeutungen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Symbol, Narrativ, Archetyp, Schatten, Gabe, Einladung, Kontextinterpretation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C62828"/>
                <w:sz w:val="18"/>
                <w:szCs w:val="18"/>
              </w:rPr>
              <w:t xml:space="preserve">❌ Ausschließlich Literatur PDF → interpretations-Tabelle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3A5C"/>
          <w:sz w:val="36"/>
          <w:szCs w:val="36"/>
        </w:rPr>
        <w:t xml:space="preserve">2. Systeme — Übersicht &amp; Kit-Status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1560"/>
        <w:gridCol w:w="3120"/>
      </w:tblGrid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Kit / Library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Lizenz</w:t>
            </w:r>
          </w:p>
        </w:tc>
        <w:tc>
          <w:tcPr>
            <w:tcW w:type="dxa" w:w="1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K1+K2 aus Kit?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Besonderheit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Jyotish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PyJHora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444444"/>
                <w:sz w:val="18"/>
                <w:szCs w:val="18"/>
              </w:rPr>
              <w:t xml:space="preserve">AGPL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~65% 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Tiefste Jyotish-Lib; AGPL → isolierter Microservice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Human Design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HD Open Source Rechner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444444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~60% 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Gate/Kanal-Mapping vorhanden; Bedeutungen fehlen komplett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Westl. Astrologie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Kerykeion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444444"/>
                <w:sz w:val="18"/>
                <w:szCs w:val="18"/>
              </w:rPr>
              <w:t xml:space="preserve">AGPL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~70% 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Gut dokumentiert; Fokus auf Berechnung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Enneagramm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GitHub JSON-Strukturen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444444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~50% 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Typ-Struktur vorhanden; Untertypen fehlen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Numerologie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Python Eigenimpl.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444444"/>
                <w:sz w:val="18"/>
                <w:szCs w:val="18"/>
              </w:rPr>
              <w:t xml:space="preserve">frei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~40% 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Nur Berechnungslogik; fast alles aus Literatur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Gene Keys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Kein Kit verfügbar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444444"/>
                <w:sz w:val="18"/>
                <w:szCs w:val="18"/>
              </w:rPr>
              <w:t xml:space="preserve">Urheberrecht!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~10% 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64 Schlüssel = HD Gates; Semantik geschützt → Paraphrase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3A5C"/>
          <w:sz w:val="36"/>
          <w:szCs w:val="36"/>
        </w:rPr>
        <w:t xml:space="preserve">3. System-Detail: Jyotish (PyJHora)</w:t>
      </w:r>
    </w:p>
    <w:p>
      <w:pPr>
        <w:spacing w:after="12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44444"/>
          <w:sz w:val="20"/>
          <w:szCs w:val="20"/>
        </w:rPr>
        <w:t xml:space="preserve">PyJHora ist die umfangreichste Python-Bibliothek für vedische Astrologie. Folgende Tabelle zeigt was aus dem Kit extrahierbar ist und was aus Literatur kommen muss.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K1 — Numerisch
(aus Kit)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K2 — Strukturregeln
(aus Kit)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K3 — Gewichtungslogiken
(aus Literatur)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K4 — Bedeutungen
(aus Literatur)</w:t>
            </w:r>
          </w:p>
        </w:tc>
      </w:tr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Nakshatra Grad-Grenzen (27 Stück)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Graha-Positionen (9 Planeten)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Ayanamsa-Berechnung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Vimshottari Dasha-Längen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Varga-Chart Divisoren</w:t>
            </w:r>
          </w:p>
        </w:tc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Nakshatra-Lord-Sequenz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Graha-Rashi-Herrschaft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Exaltationen &amp; Debilitationen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Haus-Kategorien (Kendra, Trikona)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Planetenfreundschaften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Yoga-Erkennungsregeln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KP Sub-Lord Logik</w:t>
            </w:r>
          </w:p>
        </w:tc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⚠️ Exaltierter Planet = 3x Stärke?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⚠️ Rahu verstärkt Konjunktion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⚠️ Vargottama-Gewichtung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⚠️ Planeten in Kendra stärken Haus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⚠️ KP: Sub-Lord &gt; Lord</w:t>
            </w:r>
          </w:p>
        </w:tc>
        <w:tc>
          <w:tcPr>
            <w:tcW w:type="dxa" w:w="2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❌ Nakshatra: Guna, Devata, Symbol, Tier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❌ Graha: Archetyp, Qualität, Wirkung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❌ Bhava: Lebensbereich, Bedeutung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❌ Yoga: Auswirkung &amp; Kontext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❌ Schatten &amp; Gabe je Nakshatra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Prüfen</w:t>
            </w:r>
          </w:p>
        </w:tc>
        <w:tc>
          <w:tcPr>
            <w:tcW w:type="dxa" w:w="79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444444"/>
                <w:sz w:val="18"/>
                <w:szCs w:val="18"/>
              </w:rPr>
              <w:t xml:space="preserve">Extraktion-Script schreiben: drik.nakshatra_names, drik.nakshatra_lords, drik.rashi_names, drik.graha_names → JSON. Dann prüfen welche K2-Felder tatsächlich als Konstanten im Code stecken.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444444"/>
                <w:sz w:val="18"/>
                <w:szCs w:val="18"/>
              </w:rPr>
              <w:t xml:space="preserve">Literatur</w:t>
            </w:r>
          </w:p>
        </w:tc>
        <w:tc>
          <w:tcPr>
            <w:tcW w:type="dxa" w:w="796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444444"/>
                <w:sz w:val="18"/>
                <w:szCs w:val="18"/>
              </w:rPr>
              <w:t xml:space="preserve">Bepin Behari: Myths &amp; Symbols of Vedic Astrology | B.V. Raman: 300 Important Combinations | K.N. Rao: Navamsa in Astrology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3A5C"/>
          <w:sz w:val="36"/>
          <w:szCs w:val="36"/>
        </w:rPr>
        <w:t xml:space="preserve">4. System-Detail: Human Design</w:t>
      </w:r>
    </w:p>
    <w:p>
      <w:pPr>
        <w:spacing w:after="12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44444"/>
          <w:sz w:val="20"/>
          <w:szCs w:val="20"/>
        </w:rPr>
        <w:t xml:space="preserve">Human Design verbindet I-Ging, Kabbala, Hindu-Chakren und Quantenphysik. Die Strukturlogik ist komplex aber weitgehend aus Open-Source-Rechnern extrahierbar.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K1 — Numerisch
(aus Kit)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K2 — Strukturregeln
(aus Kit)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K3 — Gewichtungslogiken
(aus Literatur)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K4 — Bedeutungen
(aus Literatur)</w:t>
            </w:r>
          </w:p>
        </w:tc>
      </w:tr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64 Gate-Nummern (I-Ging-Referenz)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36 Kanal-Verbindungen (numerisch)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9 Zentren (Namen, Zuordnung)</w:t>
            </w:r>
          </w:p>
        </w:tc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Gate → Kanal Mapping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Kanal → Zentrum Mapping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Typ-Bestimmungsregeln (Motor→Kehle)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Profil-Kombinationen (1/1 bis 6/3)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Authority-Regeln je Zentrumskonfiguration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Inkarnationskreuze (Struktur)</w:t>
            </w:r>
          </w:p>
        </w:tc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⚠️ Bewusstes Gate 70% / Unbewusstes 30%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⚠️ Definierte Zentren dominieren undefinierte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⚠️ Offene Zentren = Konditionierungsfeld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⚠️ Motorstärken im Vergleich</w:t>
            </w:r>
          </w:p>
        </w:tc>
        <w:tc>
          <w:tcPr>
            <w:tcW w:type="dxa" w:w="2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❌ Gate: Bedeutung, Thema, Schatten, Gabe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❌ Kanal: Synergiewirkung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❌ Zentrum: Lebensprinzip, Öffnungsqualität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❌ Profil: Lebensthema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❌ Typ: Strategie &amp; Autorität (Narrativ)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Achtung</w:t>
            </w:r>
          </w:p>
        </w:tc>
        <w:tc>
          <w:tcPr>
            <w:tcW w:type="dxa" w:w="79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444444"/>
                <w:sz w:val="18"/>
                <w:szCs w:val="18"/>
              </w:rPr>
              <w:t xml:space="preserve">Gene Keys (Schatten/Gabe/Siddhi je Gate) sind urheberrechtlich geschützt (Richard Rudd). Nur Paraphrase oder eigene Ableitung möglich — kein direktes Zitat.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444444"/>
                <w:sz w:val="18"/>
                <w:szCs w:val="18"/>
              </w:rPr>
              <w:t xml:space="preserve">Literatur</w:t>
            </w:r>
          </w:p>
        </w:tc>
        <w:tc>
          <w:tcPr>
            <w:tcW w:type="dxa" w:w="796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444444"/>
                <w:sz w:val="18"/>
                <w:szCs w:val="18"/>
              </w:rPr>
              <w:t xml:space="preserve">Ra Uru Hu: The Definitive Book of Human Design | Lynda Bunnell: The Dictionary of Human Design | Karen Curry Parker: Understanding Human Design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3A5C"/>
          <w:sz w:val="36"/>
          <w:szCs w:val="36"/>
        </w:rPr>
        <w:t xml:space="preserve">5. System-Detail: Enneagramm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K1 — Numerisch
(aus Kit)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K2 — Strukturregeln
(aus Kit)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K3 — Gewichtungslogiken
(aus Literatur)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K4 — Bedeutungen
(aus Literatur)</w:t>
            </w:r>
          </w:p>
        </w:tc>
      </w:tr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9 Typen (Nummern)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Triade-Zuordnung (Bauch/Herz/Kopf)</w:t>
            </w:r>
          </w:p>
        </w:tc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Flügel-Struktur (Typ N → Flügel N-1, N+1)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Pfeil-Richtungen (Integration/Desintegration)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✅ Untertyp-Kategorien (3 je Typ)</w:t>
            </w:r>
          </w:p>
        </w:tc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⚠️ Entwicklungsniveaus (1-9 je Typ)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⚠️ Dominanz der Triade vs. Flügel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⚠️ Stressmuster-Gewichtung</w:t>
            </w:r>
          </w:p>
        </w:tc>
        <w:tc>
          <w:tcPr>
            <w:tcW w:type="dxa" w:w="2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❌ Kernmotivation, Grundangst, Grundwunsch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❌ Untertypen (Selbsterhaltung, Sozial, Sexuell)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❌ Schattenmuster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❌ Transformationsweg je Typ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444444"/>
                <w:sz w:val="17"/>
                <w:szCs w:val="17"/>
              </w:rPr>
              <w:t xml:space="preserve">❌ Flügel-Nuancen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444444"/>
                <w:sz w:val="18"/>
                <w:szCs w:val="18"/>
              </w:rPr>
              <w:t xml:space="preserve">Literatur</w:t>
            </w:r>
          </w:p>
        </w:tc>
        <w:tc>
          <w:tcPr>
            <w:tcW w:type="dxa" w:w="796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444444"/>
                <w:sz w:val="18"/>
                <w:szCs w:val="18"/>
              </w:rPr>
              <w:t xml:space="preserve">Don Richard Riso &amp; Russ Hudson: Personality Types | Beatrice Chestnut: The Complete Enneagram | Sandra Maitri: The Spiritual Dimension of the Enneagram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3A5C"/>
          <w:sz w:val="36"/>
          <w:szCs w:val="36"/>
        </w:rPr>
        <w:t xml:space="preserve">6. Extraktions-Prozess &amp; LLM-Modi</w:t>
      </w:r>
    </w:p>
    <w:p>
      <w:pPr>
        <w:spacing w:after="12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44444"/>
          <w:sz w:val="20"/>
          <w:szCs w:val="20"/>
        </w:rPr>
        <w:t xml:space="preserve">MinerU + LLM läuft in drei verschiedenen Modi — je nach Ziel-Kategorie: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880"/>
      </w:tblGrid>
      <w:t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Modus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Ziel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Beispiel-Prompt (Kern)</w:t>
            </w:r>
          </w:p>
        </w:tc>
        <w:tc>
          <w:tcPr>
            <w:tcW w:type="dxa" w:w="28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Output → Tabelle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Modus 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K3: Regeln &amp; Gewichtungen extrahieren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"Identifiziere alle Wenn-Dann-Regeln, Gewichtungen und Stärkeverhältnisse in diesem Abschnitt."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→ rules (id, condition, effect, evidence, source)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Modus 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K4a: Qualitative Eigenschaften extrahieren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"Extrahiere alle Eigenschaften von [Konzept X]: Guna, Symbol, Devata, Dosha, Geschlecht. Nur diskrete Werte, kein Fließtext."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→ nodes.properties JSONB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Modus 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K4b: Bedeutungen &amp; Interpretationen extrahieren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"Extrahiere alle Bedeutungsaussagen zu [Konzept X]. Format: Kontext (Stärke/Schatten/Einladung), Text, Evidenzgrad."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→ interpretations (node_id, context, text, evidence, source)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3A5C"/>
          <w:sz w:val="36"/>
          <w:szCs w:val="36"/>
        </w:rPr>
        <w:t xml:space="preserve">7. Supabase Tabellen-Übersicht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2680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Tabelle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Hauptfelder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Befüllt durch</w:t>
            </w:r>
          </w:p>
        </w:tc>
        <w:tc>
          <w:tcPr>
            <w:tcW w:type="dxa" w:w="2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Kategorie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nodes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id, system, label, type, properties 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Kit-Script + Literatur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K1 + K2 + K4a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edges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source_id, target_id, relation, weight, evidence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Kit-Script + Literatur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K2 + K4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interpretations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node_id, context, text, evidence, source, embedding vector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MinerU + LLM Modus 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K4b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rules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system, rule_type, condition JSONB, effect JSONB, evidence,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MinerU + LLM Modus 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K3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sources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id, title, author, year, system, reliability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Manuell kuratiert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alle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3A5C"/>
          <w:sz w:val="36"/>
          <w:szCs w:val="36"/>
        </w:rPr>
        <w:t xml:space="preserve">8. Prüf-Checkliste (je System)</w:t>
      </w:r>
    </w:p>
    <w:p>
      <w:pPr>
        <w:spacing w:after="80" w:before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44444"/>
          <w:sz w:val="20"/>
          <w:szCs w:val="20"/>
        </w:rPr>
        <w:t xml:space="preserve">Für jedes System folgende Schritte durchführen — in dieser Reihenfolge: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2E6DA4"/>
          <w:sz w:val="26"/>
          <w:szCs w:val="26"/>
        </w:rPr>
        <w:t xml:space="preserve">Schritt 1 — Kit installieren &amp; ausführen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Kit klonen / installieren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Basis-Output erzeugen (Beispielchart berechnen)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Code nach Konstanten und Lookup-Tabellen durchsuchen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Alle extrahierbaren Listen in JSON exportieren (K1+K2)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2E6DA4"/>
          <w:sz w:val="26"/>
          <w:szCs w:val="26"/>
        </w:rPr>
        <w:t xml:space="preserve">Schritt 2 — Differenz identifizieren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Was fehlt in K1? (Welche numerischen Felder sind nicht im Kit?)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Was fehlt in K2? (Welche Strukturregeln fehlen als Konstante?)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K3-Kandidaten sammeln: Welche Gewichtungsregeln werden im Kit vorausgesetzt aber nicht definiert?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K4-Felder definieren: Was soll später aus Literatur extrahiert werden?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2E6DA4"/>
          <w:sz w:val="26"/>
          <w:szCs w:val="26"/>
        </w:rPr>
        <w:t xml:space="preserve">Schritt 3 — Literatur identifizieren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Primärquellen je System auflisten (Autor, Titel, Ausgabe)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PDFs beschaffen (legal: Kauf, Open Access, Bibliothek)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Priorität festlegen: Welches Buch deckt K3+K4 am vollständigsten?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MinerU-Extraktion testen (Qualität prüfen)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2E6DA4"/>
          <w:sz w:val="26"/>
          <w:szCs w:val="26"/>
        </w:rPr>
        <w:t xml:space="preserve">Schritt 4 — Seed aufbauen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Seed-Script schreiben: JSON → nodes + edges INSERT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In Supabase Dev-DB importieren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Vollständigkeit prüfen: Alle Entitäten vorhanden?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LLM-Extraktion für K3 starten (Modus A)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LLM-Extraktion für K4a starten (Modus B)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LLM-Extraktion für K4b starten (Modus C)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Human-in-the-Loop Review (Evidenzklassen vergeben)</w:t>
      </w:r>
    </w:p>
    <w:p>
      <w:pPr>
        <w:spacing w:after="60" w:before="60"/>
      </w:pPr>
      <w:r>
        <w:rPr>
          <w:rFonts w:ascii="Inter" w:cs="Inter" w:eastAsia="Inter" w:hAnsi="Inter"/>
          <w:color w:val="444444"/>
          <w:sz w:val="19"/>
          <w:szCs w:val="19"/>
        </w:rPr>
        <w:t xml:space="preserve">☐ Embeddings generieren (pgvector)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1B3A5C"/>
          <w:sz w:val="36"/>
          <w:szCs w:val="36"/>
        </w:rPr>
        <w:t xml:space="preserve">9. Evidenzklassen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000"/>
        <w:gridCol w:w="3080"/>
      </w:tblGrid>
      <w:tr>
        <w:tc>
          <w:tcPr>
            <w:tcW w:type="dxa" w:w="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Klasse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  <w:tc>
          <w:tcPr>
            <w:tcW w:type="dxa" w:w="30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Mathematisch sicher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Direkt aus Kit-Berechnung, deterministisch, unveränderlich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Nakshatra-Grad-Grenzen, Planetenposition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Tradition-Konsens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In mehreren Primärquellen übereinstimmend beschrieben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Ashwini = Heilung (3+ Quellen)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Einzelquelle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In einer Quelle klar beschrieben, nicht breit bestätigt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Spezifische Yoga-Interpretation eines Autors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Hypothetisch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IC-eigene Ableitung, Cross-System-Mapping, LLM-Inferenz ohne Quellenbeleg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Gate 34 resoniert mit Mars in Widder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200"/>
        <w:jc w:val="center"/>
      </w:pPr>
      <w:r>
        <w:rPr>
          <w:rFonts w:ascii="Inter" w:cs="Inter" w:eastAsia="Inter" w:hAnsi="Inter"/>
          <w:i/>
          <w:iCs/>
          <w:color w:val="AAAAAA"/>
          <w:sz w:val="16"/>
          <w:szCs w:val="16"/>
        </w:rPr>
        <w:t xml:space="preserve">HILOG — Hochschulinstitut für Logistik | Inner Compass Projekt-Dokumentation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Inter" w:cs="Inter" w:eastAsia="Inter" w:hAnsi="Inter"/>
        <w:color w:val="888888"/>
        <w:sz w:val="16"/>
        <w:szCs w:val="16"/>
      </w:rPr>
      <w:t xml:space="preserve">Seite </w:t>
    </w:r>
    <w:r>
      <w:rPr>
        <w:rFonts w:ascii="Inter" w:cs="Inter" w:eastAsia="Inter" w:hAnsi="Inter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Inter" w:cs="Inter" w:eastAsia="Inter" w:hAnsi="Inter"/>
        <w:b/>
        <w:bCs/>
        <w:color w:val="1B3A5C"/>
        <w:sz w:val="18"/>
        <w:szCs w:val="18"/>
      </w:rPr>
      <w:t xml:space="preserve">INNER COMPASS — System-Prüf-Framework</w:t>
    </w:r>
    <w:r>
      <w:rPr>
        <w:rFonts w:ascii="Inter" w:cs="Inter" w:eastAsia="Inter" w:hAnsi="Inter"/>
        <w:color w:val="888888"/>
        <w:sz w:val="18"/>
        <w:szCs w:val="18"/>
      </w:rPr>
      <w:t xml:space="preserve">   |   Knowledge Graph Architektur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Inter" w:cs="Inter" w:eastAsia="Inter" w:hAnsi="Inter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Inter" w:cs="Inter" w:eastAsia="Inter" w:hAnsi="Inter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Inter" w:cs="Inter" w:eastAsia="Inter" w:hAnsi="Inter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2026-04-06T12:23:09.669Z</dcterms:created>
  <dcterms:modified xsi:type="dcterms:W3CDTF">2026-04-06T12:23:09.669Z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