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recapture Antarctic toothfish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Kelburn</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2725 Montlake Blvd. East</w:t>
      </w:r>
    </w:p>
    <w:p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rsidR="006170A6" w:rsidRDefault="009231A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toothfish; </w:t>
      </w:r>
      <w:r>
        <w:rPr>
          <w:rFonts w:ascii="Times New Roman" w:hAnsi="Times New Roman" w:cs="Times New Roman"/>
          <w:sz w:val="24"/>
          <w:szCs w:val="24"/>
        </w:rPr>
        <w:t>time-varying growth; random effect; von Bertalanffy growth function</w:t>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br w:type="page"/>
      </w:r>
    </w:p>
    <w:p w:rsidR="009C37AB" w:rsidRPr="009C37AB" w:rsidRDefault="009C37AB"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9C37AB">
        <w:rPr>
          <w:rFonts w:ascii="Times New Roman" w:hAnsi="Times New Roman" w:cs="Times New Roman"/>
          <w:noProof w:val="0"/>
          <w:sz w:val="24"/>
          <w:szCs w:val="24"/>
        </w:rPr>
        <w:lastRenderedPageBreak/>
        <w:t>Introduction</w:t>
      </w:r>
    </w:p>
    <w:p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in fishes arises from complex behavioral trade-offs for each individual in a population.  Growth (measured as an increase in standard length) arises from the allocation of energy between increased size (length) and increased condition (i.e.,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and this may cause all individuals to have elevated or depressed growth rates in a given year.  Recent meta-analytic works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xml:space="preserve">.  Mixed-effects models accomplish this by estimating true size at age as a latent variability,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 xml:space="preserve">Many studies have examined the </w:t>
      </w:r>
      <w:r w:rsidR="005A4504">
        <w:rPr>
          <w:rFonts w:ascii="Times New Roman" w:hAnsi="Times New Roman" w:cs="Times New Roman"/>
          <w:sz w:val="24"/>
          <w:szCs w:val="24"/>
        </w:rPr>
        <w:t>impact</w:t>
      </w:r>
      <w:r w:rsidR="004C2630">
        <w:rPr>
          <w:rFonts w:ascii="Times New Roman" w:hAnsi="Times New Roman" w:cs="Times New Roman"/>
          <w:sz w:val="24"/>
          <w:szCs w:val="24"/>
        </w:rPr>
        <w:t xml:space="preserve">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toothfish.  Using these data, we show that …. [1-2 sentence summary of most important result for toothfish].</w:t>
      </w:r>
    </w:p>
    <w:p w:rsidR="00307F62" w:rsidRPr="00307F62" w:rsidRDefault="00307F62"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t>Methods</w:t>
      </w:r>
    </w:p>
    <w:p w:rsidR="007A7191" w:rsidRDefault="002A3F7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Variation among individuals can be </w:t>
      </w:r>
      <w:r w:rsidR="00D018E5">
        <w:rPr>
          <w:rFonts w:ascii="Times New Roman" w:hAnsi="Times New Roman" w:cs="Times New Roman"/>
          <w:sz w:val="24"/>
          <w:szCs w:val="24"/>
        </w:rPr>
        <w:t>estimated</w:t>
      </w:r>
      <w:r w:rsidRPr="009C37AB">
        <w:rPr>
          <w:rFonts w:ascii="Times New Roman" w:hAnsi="Times New Roman" w:cs="Times New Roman"/>
          <w:sz w:val="24"/>
          <w:szCs w:val="24"/>
        </w:rPr>
        <w:t xml:space="preserve"> by treating each individual's demographic parameter</w:t>
      </w:r>
      <w:r w:rsidR="00572C51">
        <w:rPr>
          <w:rFonts w:ascii="Times New Roman" w:hAnsi="Times New Roman" w:cs="Times New Roman"/>
          <w:sz w:val="24"/>
          <w:szCs w:val="24"/>
        </w:rPr>
        <w:t>s as a random effect that arise</w:t>
      </w:r>
      <w:r w:rsidR="007B64AA">
        <w:rPr>
          <w:rFonts w:ascii="Times New Roman" w:hAnsi="Times New Roman" w:cs="Times New Roman"/>
          <w:sz w:val="24"/>
          <w:szCs w:val="24"/>
        </w:rPr>
        <w:t>s</w:t>
      </w:r>
      <w:r w:rsidRPr="009C37AB">
        <w:rPr>
          <w:rFonts w:ascii="Times New Roman" w:hAnsi="Times New Roman" w:cs="Times New Roman"/>
          <w:sz w:val="24"/>
          <w:szCs w:val="24"/>
        </w:rPr>
        <w:t xml:space="preserve"> from a population-level distribution</w:t>
      </w:r>
      <w:r w:rsidR="004E6298">
        <w:rPr>
          <w:rFonts w:ascii="Times New Roman" w:hAnsi="Times New Roman" w:cs="Times New Roman"/>
          <w:sz w:val="24"/>
          <w:szCs w:val="24"/>
        </w:rPr>
        <w:t xml:space="preserve"> </w:t>
      </w:r>
      <w:r w:rsidR="004E6298">
        <w:rPr>
          <w:rFonts w:ascii="Times New Roman" w:hAnsi="Times New Roman" w:cs="Times New Roman"/>
          <w:sz w:val="24"/>
          <w:szCs w:val="24"/>
        </w:rPr>
        <w:fldChar w:fldCharType="begin"/>
      </w:r>
      <w:r w:rsidR="004E6298">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4E6298">
        <w:rPr>
          <w:rFonts w:ascii="Times New Roman" w:hAnsi="Times New Roman" w:cs="Times New Roman"/>
          <w:sz w:val="24"/>
          <w:szCs w:val="24"/>
        </w:rPr>
        <w:fldChar w:fldCharType="separate"/>
      </w:r>
      <w:r w:rsidR="004E6298" w:rsidRPr="004E6298">
        <w:rPr>
          <w:rFonts w:ascii="Times New Roman" w:hAnsi="Times New Roman" w:cs="Times New Roman"/>
          <w:sz w:val="24"/>
        </w:rPr>
        <w:t>(Thorson and Minto In press)</w:t>
      </w:r>
      <w:r w:rsidR="004E6298">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sidR="0019699F" w:rsidRPr="009C37AB">
        <w:rPr>
          <w:rFonts w:ascii="Times New Roman" w:hAnsi="Times New Roman" w:cs="Times New Roman"/>
          <w:sz w:val="24"/>
          <w:szCs w:val="24"/>
        </w:rPr>
        <w:t>We start with</w:t>
      </w:r>
      <w:r w:rsidRPr="009C37AB">
        <w:rPr>
          <w:rFonts w:ascii="Times New Roman" w:hAnsi="Times New Roman" w:cs="Times New Roman"/>
          <w:sz w:val="24"/>
          <w:szCs w:val="24"/>
        </w:rPr>
        <w:t xml:space="preserve"> the specialized von Bertalanffy growth function:</w:t>
      </w:r>
    </w:p>
    <w:p w:rsidR="00940E38" w:rsidRPr="00940E38" w:rsidRDefault="00147A67" w:rsidP="00F71B08">
      <w:pPr>
        <w:tabs>
          <w:tab w:val="left" w:pos="360"/>
          <w:tab w:val="left" w:pos="720"/>
          <w:tab w:val="left" w:pos="8640"/>
        </w:tabs>
        <w:spacing w:after="0" w:line="480" w:lineRule="auto"/>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r>
            <w:rPr>
              <w:rFonts w:ascii="Cambria Math" w:hAnsi="Cambria Math" w:cs="Times New Roman"/>
              <w:sz w:val="24"/>
              <w:szCs w:val="24"/>
            </w:rPr>
            <m:t>=a-bL</m:t>
          </m:r>
        </m:oMath>
      </m:oMathPara>
    </w:p>
    <w:p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lastRenderedPageBreak/>
        <w:t xml:space="preserve">where </w:t>
      </w:r>
      <w:r w:rsidRPr="009C37AB">
        <w:rPr>
          <w:rFonts w:ascii="Times New Roman" w:hAnsi="Times New Roman" w:cs="Times New Roman"/>
          <w:i/>
          <w:sz w:val="24"/>
          <w:szCs w:val="24"/>
        </w:rPr>
        <w:t>dL/dt</w:t>
      </w:r>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represents metabolic upkeep costs.  </w:t>
      </w:r>
      <w:r w:rsidR="00733167">
        <w:rPr>
          <w:rFonts w:ascii="Times New Roman" w:hAnsi="Times New Roman" w:cs="Times New Roman"/>
          <w:sz w:val="24"/>
          <w:szCs w:val="24"/>
        </w:rPr>
        <w:t>I</w:t>
      </w:r>
      <w:r w:rsidRPr="009C37AB">
        <w:rPr>
          <w:rFonts w:ascii="Times New Roman" w:hAnsi="Times New Roman" w:cs="Times New Roman"/>
          <w:sz w:val="24"/>
          <w:szCs w:val="24"/>
        </w:rPr>
        <w:t xml:space="preserve">ndividuals that are more highly active may obtain more food (increased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and simultaneously have greater upkeep costs (increased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Pr="009C37AB">
        <w:rPr>
          <w:rFonts w:ascii="Times New Roman" w:hAnsi="Times New Roman" w:cs="Times New Roman"/>
          <w:sz w:val="24"/>
          <w:szCs w:val="24"/>
        </w:rPr>
        <w:t>, we include this correlation via the following equation:</w:t>
      </w:r>
    </w:p>
    <w:p w:rsidR="00BD775D" w:rsidRPr="00407481" w:rsidRDefault="000A2422"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a=γ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rsidR="0019699F" w:rsidRPr="009C37AB"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 xml:space="preserve">γ </w:t>
      </w:r>
      <w:r w:rsidRPr="009C37AB">
        <w:rPr>
          <w:rFonts w:ascii="Times New Roman" w:hAnsi="Times New Roman" w:cs="Times New Roman"/>
          <w:sz w:val="24"/>
          <w:szCs w:val="24"/>
        </w:rPr>
        <w:t>and</w:t>
      </w:r>
      <w:r w:rsidRPr="009C37AB">
        <w:rPr>
          <w:rFonts w:ascii="Times New Roman" w:hAnsi="Times New Roman" w:cs="Times New Roman"/>
          <w:i/>
          <w:sz w:val="24"/>
          <w:szCs w:val="24"/>
        </w:rPr>
        <w:t xml:space="preserve"> Ψ</w:t>
      </w:r>
      <w:r w:rsidRPr="009C37AB">
        <w:rPr>
          <w:rFonts w:ascii="Times New Roman" w:hAnsi="Times New Roman" w:cs="Times New Roman"/>
          <w:sz w:val="24"/>
          <w:szCs w:val="24"/>
        </w:rPr>
        <w:t xml:space="preserve"> approximate the allometric scaling of energy costs and acquisition.  Integration then yields:</w:t>
      </w:r>
    </w:p>
    <w:p w:rsidR="00EB46D1" w:rsidRPr="009738B0" w:rsidRDefault="00EB46D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r>
            <w:rPr>
              <w:rFonts w:ascii="Cambria Math" w:hAnsi="Cambria Math" w:cs="Times New Roman"/>
              <w:sz w:val="24"/>
              <w:szCs w:val="24"/>
            </w:rPr>
            <m:t>γ</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t,a,x</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where</w:t>
      </w:r>
    </w:p>
    <w:p w:rsidR="00D269B9" w:rsidRPr="009738B0" w:rsidRDefault="00147A67"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e>
          </m:d>
        </m:oMath>
      </m:oMathPara>
    </w:p>
    <w:p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r w:rsidRPr="009C37AB">
        <w:rPr>
          <w:rFonts w:ascii="Times New Roman" w:hAnsi="Times New Roman" w:cs="Times New Roman"/>
          <w:sz w:val="24"/>
          <w:szCs w:val="24"/>
        </w:rPr>
        <w:t xml:space="preserve"> is the number of time-periods elapsed between length intervals, and whe</w:t>
      </w:r>
      <w:r w:rsidR="008E5E33">
        <w:rPr>
          <w:rFonts w:ascii="Times New Roman" w:hAnsi="Times New Roman" w:cs="Times New Roman"/>
          <w:sz w:val="24"/>
          <w:szCs w:val="24"/>
        </w:rPr>
        <w:t xml:space="preserve">re the Brody growth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oMath>
      <w:r w:rsidR="008E5E33">
        <w:rPr>
          <w:rFonts w:ascii="Times New Roman" w:hAnsi="Times New Roman" w:cs="Times New Roman"/>
          <w:sz w:val="24"/>
          <w:szCs w:val="24"/>
        </w:rPr>
        <w:t xml:space="preserve"> </w:t>
      </w:r>
      <w:r w:rsidRPr="009C37AB">
        <w:rPr>
          <w:rFonts w:ascii="Times New Roman" w:hAnsi="Times New Roman" w:cs="Times New Roman"/>
          <w:sz w:val="24"/>
          <w:szCs w:val="24"/>
        </w:rPr>
        <w:t>(as in the conventional von</w:t>
      </w:r>
      <w:r w:rsidR="00FD7A35">
        <w:rPr>
          <w:rFonts w:ascii="Times New Roman" w:hAnsi="Times New Roman" w:cs="Times New Roman"/>
          <w:sz w:val="24"/>
          <w:szCs w:val="24"/>
        </w:rPr>
        <w:t xml:space="preserve"> Bertalanffy growth function).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26AF6">
        <w:rPr>
          <w:rFonts w:ascii="Times New Roman" w:hAnsi="Times New Roman" w:cs="Times New Roman"/>
          <w:sz w:val="24"/>
          <w:szCs w:val="24"/>
        </w:rPr>
        <w:t xml:space="preserve">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rsidR="00FD7A35" w:rsidRPr="00407481" w:rsidRDefault="00147A67"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num>
            <m:den>
              <m:r>
                <w:rPr>
                  <w:rFonts w:ascii="Cambria Math" w:hAnsi="Cambria Math" w:cs="Times New Roman"/>
                  <w:sz w:val="24"/>
                  <w:szCs w:val="24"/>
                </w:rPr>
                <m:t>b</m:t>
              </m:r>
            </m:den>
          </m:f>
        </m:oMath>
      </m:oMathPara>
    </w:p>
    <w:p w:rsidR="000733CF" w:rsidRDefault="000733CF"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Penalized likelihood, the prior on the Linf par acts as a penalty function.</w:t>
      </w:r>
    </w:p>
    <w:p w:rsidR="00247CAC" w:rsidRPr="000E273D" w:rsidRDefault="00827676"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rsidR="00321705"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rsidR="00027299" w:rsidRPr="00EA6722" w:rsidRDefault="00147A67"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m:t>
                  </m:r>
                </m:sub>
                <m:sup>
                  <m:r>
                    <w:rPr>
                      <w:rFonts w:ascii="Cambria Math" w:hAnsi="Cambria Math" w:cs="Times New Roman"/>
                      <w:sz w:val="24"/>
                      <w:szCs w:val="24"/>
                    </w:rPr>
                    <m:t>2</m:t>
                  </m:r>
                </m:sup>
              </m:sSubSup>
            </m:e>
          </m:d>
        </m:oMath>
      </m:oMathPara>
    </w:p>
    <w:p w:rsidR="00EA6722" w:rsidRDefault="00EA6722" w:rsidP="00F71B08">
      <w:pPr>
        <w:tabs>
          <w:tab w:val="left" w:pos="360"/>
          <w:tab w:val="left" w:pos="720"/>
          <w:tab w:val="left" w:pos="8640"/>
        </w:tabs>
        <w:spacing w:after="0" w:line="480" w:lineRule="auto"/>
        <w:jc w:val="both"/>
        <w:rPr>
          <w:rFonts w:ascii="Times New Roman" w:hAnsi="Times New Roman" w:cs="Times New Roman"/>
          <w:sz w:val="24"/>
          <w:szCs w:val="24"/>
        </w:rPr>
      </w:pPr>
    </w:p>
    <w:p w:rsidR="008C7712"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p>
    <w:p w:rsidR="007A7191" w:rsidRPr="009C37AB"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incorporates variability in </w:t>
      </w:r>
      <w:r w:rsidRPr="009C37AB">
        <w:rPr>
          <w:rFonts w:ascii="Times New Roman" w:hAnsi="Times New Roman" w:cs="Times New Roman"/>
          <w:i/>
          <w:sz w:val="24"/>
          <w:szCs w:val="24"/>
        </w:rPr>
        <w:t>γ</w:t>
      </w:r>
      <w:r w:rsidRPr="009C37AB">
        <w:rPr>
          <w:rFonts w:ascii="Times New Roman" w:hAnsi="Times New Roman" w:cs="Times New Roman"/>
          <w:sz w:val="24"/>
          <w:szCs w:val="24"/>
        </w:rPr>
        <w:t xml:space="preserve"> over time, although we retain the assumption that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varies among individuals (and hence has subscript </w:t>
      </w:r>
      <w:r w:rsidRPr="009C37AB">
        <w:rPr>
          <w:rFonts w:ascii="Times New Roman" w:hAnsi="Times New Roman" w:cs="Times New Roman"/>
          <w:i/>
          <w:sz w:val="24"/>
          <w:szCs w:val="24"/>
        </w:rPr>
        <w:t>i</w:t>
      </w:r>
      <w:r w:rsidRPr="009C37AB">
        <w:rPr>
          <w:rFonts w:ascii="Times New Roman" w:hAnsi="Times New Roman" w:cs="Times New Roman"/>
          <w:sz w:val="24"/>
          <w:szCs w:val="24"/>
        </w:rPr>
        <w:t>), where it follows a normal distribution (truncated at zero) with estimated</w:t>
      </w:r>
      <w:r w:rsidR="009F6A06">
        <w:rPr>
          <w:rFonts w:ascii="Times New Roman" w:hAnsi="Times New Roman" w:cs="Times New Roman"/>
          <w:sz w:val="24"/>
          <w:szCs w:val="24"/>
        </w:rPr>
        <w:t xml:space="preserve"> mean and variance parameters.</w:t>
      </w:r>
    </w:p>
    <w:p w:rsidR="00570D16"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ab/>
        <w:t xml:space="preserve">Following previous notation, parameters are estimated by integrating across all random effects </w:t>
      </w:r>
      <w:r w:rsidRPr="009C37AB">
        <w:rPr>
          <w:rFonts w:ascii="Times New Roman" w:hAnsi="Times New Roman" w:cs="Times New Roman"/>
          <w:b/>
          <w:i/>
          <w:sz w:val="24"/>
          <w:szCs w:val="24"/>
        </w:rPr>
        <w:t>b</w:t>
      </w:r>
      <w:r w:rsidR="00C41D0B">
        <w:rPr>
          <w:rFonts w:ascii="Times New Roman" w:hAnsi="Times New Roman" w:cs="Times New Roman"/>
          <w:sz w:val="24"/>
          <w:szCs w:val="24"/>
        </w:rPr>
        <w:t>, while noting that Eq. 3</w:t>
      </w:r>
      <w:r w:rsidRPr="009C37AB">
        <w:rPr>
          <w:rFonts w:ascii="Times New Roman" w:hAnsi="Times New Roman" w:cs="Times New Roman"/>
          <w:sz w:val="24"/>
          <w:szCs w:val="24"/>
        </w:rPr>
        <w:t xml:space="preserve"> also requires estimation of </w:t>
      </w:r>
      <w:r w:rsidRPr="009C37AB">
        <w:rPr>
          <w:rFonts w:ascii="Times New Roman" w:hAnsi="Times New Roman" w:cs="Times New Roman"/>
          <w:i/>
          <w:sz w:val="24"/>
          <w:szCs w:val="24"/>
        </w:rPr>
        <w:t>L</w:t>
      </w:r>
      <w:r w:rsidRPr="009C37AB">
        <w:rPr>
          <w:rFonts w:ascii="Times New Roman" w:hAnsi="Times New Roman" w:cs="Times New Roman"/>
          <w:i/>
          <w:sz w:val="24"/>
          <w:szCs w:val="24"/>
          <w:vertAlign w:val="subscript"/>
        </w:rPr>
        <w:t>i</w:t>
      </w:r>
      <w:r w:rsidRPr="009C37AB">
        <w:rPr>
          <w:rFonts w:ascii="Times New Roman" w:hAnsi="Times New Roman" w:cs="Times New Roman"/>
          <w:i/>
          <w:sz w:val="24"/>
          <w:szCs w:val="24"/>
          <w:vertAlign w:val="superscript"/>
        </w:rPr>
        <w:t>(t0)</w:t>
      </w:r>
      <w:r w:rsidRPr="009C37AB">
        <w:rPr>
          <w:rFonts w:ascii="Times New Roman" w:hAnsi="Times New Roman" w:cs="Times New Roman"/>
          <w:sz w:val="24"/>
          <w:szCs w:val="24"/>
        </w:rPr>
        <w:t>, i.e., the length upon first ob</w:t>
      </w:r>
      <w:r w:rsidR="00D00F77">
        <w:rPr>
          <w:rFonts w:ascii="Times New Roman" w:hAnsi="Times New Roman" w:cs="Times New Roman"/>
          <w:sz w:val="24"/>
          <w:szCs w:val="24"/>
        </w:rPr>
        <w:t>servation for each individual.</w:t>
      </w:r>
    </w:p>
    <w:p w:rsidR="00C63890" w:rsidRDefault="00D9219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63890" w:rsidRPr="009C37AB">
        <w:rPr>
          <w:rFonts w:ascii="Times New Roman" w:hAnsi="Times New Roman" w:cs="Times New Roman"/>
          <w:sz w:val="24"/>
          <w:szCs w:val="24"/>
        </w:rPr>
        <w:t xml:space="preserve">We implement this model using the </w:t>
      </w:r>
      <w:r w:rsidRPr="00D92192">
        <w:rPr>
          <w:rFonts w:ascii="Times New Roman" w:hAnsi="Times New Roman" w:cs="Times New Roman"/>
          <w:i/>
          <w:sz w:val="24"/>
          <w:szCs w:val="24"/>
        </w:rPr>
        <w:t>Template Model Builder</w:t>
      </w:r>
      <w:r>
        <w:rPr>
          <w:rFonts w:ascii="Times New Roman" w:hAnsi="Times New Roman" w:cs="Times New Roman"/>
          <w:sz w:val="24"/>
          <w:szCs w:val="24"/>
        </w:rPr>
        <w:t xml:space="preserve"> (</w:t>
      </w:r>
      <w:r w:rsidRPr="00FC7639">
        <w:rPr>
          <w:rFonts w:ascii="Times New Roman" w:hAnsi="Times New Roman" w:cs="Times New Roman"/>
          <w:i/>
          <w:sz w:val="24"/>
          <w:szCs w:val="24"/>
        </w:rPr>
        <w:t>TMB</w:t>
      </w:r>
      <w:r>
        <w:rPr>
          <w:rFonts w:ascii="Times New Roman" w:hAnsi="Times New Roman" w:cs="Times New Roman"/>
          <w:sz w:val="24"/>
          <w:szCs w:val="24"/>
        </w:rPr>
        <w:t xml:space="preserve">) </w:t>
      </w:r>
      <w:r w:rsidR="00C63890" w:rsidRPr="009C37AB">
        <w:rPr>
          <w:rFonts w:ascii="Times New Roman" w:hAnsi="Times New Roman" w:cs="Times New Roman"/>
          <w:sz w:val="24"/>
          <w:szCs w:val="24"/>
        </w:rPr>
        <w:t xml:space="preserve">software called from </w:t>
      </w:r>
      <w:r w:rsidR="00C63890" w:rsidRPr="009C37AB">
        <w:rPr>
          <w:rFonts w:ascii="Times New Roman" w:hAnsi="Times New Roman" w:cs="Times New Roman"/>
          <w:i/>
          <w:sz w:val="24"/>
          <w:szCs w:val="24"/>
        </w:rPr>
        <w:t>R</w:t>
      </w:r>
      <w:r w:rsidR="00C63890" w:rsidRPr="009C37AB">
        <w:rPr>
          <w:rFonts w:ascii="Times New Roman" w:hAnsi="Times New Roman" w:cs="Times New Roman"/>
          <w:sz w:val="24"/>
          <w:szCs w:val="24"/>
        </w:rPr>
        <w:t xml:space="preserve"> using the </w:t>
      </w:r>
      <w:r w:rsidR="00BE7622">
        <w:rPr>
          <w:rFonts w:ascii="Times New Roman" w:hAnsi="Times New Roman" w:cs="Times New Roman"/>
          <w:i/>
          <w:sz w:val="24"/>
          <w:szCs w:val="24"/>
        </w:rPr>
        <w:t>TMB</w:t>
      </w:r>
      <w:r w:rsidR="00C63890" w:rsidRPr="009C37AB">
        <w:rPr>
          <w:rFonts w:ascii="Times New Roman" w:hAnsi="Times New Roman" w:cs="Times New Roman"/>
          <w:i/>
          <w:sz w:val="24"/>
          <w:szCs w:val="24"/>
        </w:rPr>
        <w:t xml:space="preserve"> </w:t>
      </w:r>
      <w:r w:rsidR="00BE7622">
        <w:rPr>
          <w:rFonts w:ascii="Times New Roman" w:hAnsi="Times New Roman" w:cs="Times New Roman"/>
          <w:sz w:val="24"/>
          <w:szCs w:val="24"/>
        </w:rPr>
        <w:t>package</w:t>
      </w:r>
      <w:r w:rsidR="00DC6BF5" w:rsidRPr="009C37AB">
        <w:rPr>
          <w:rFonts w:ascii="Times New Roman" w:hAnsi="Times New Roman" w:cs="Times New Roman"/>
          <w:sz w:val="24"/>
          <w:szCs w:val="24"/>
        </w:rPr>
        <w:t xml:space="preserve"> and provide the code as an example of how to call </w:t>
      </w:r>
      <w:r w:rsidR="00BE7622">
        <w:rPr>
          <w:rFonts w:ascii="Times New Roman" w:hAnsi="Times New Roman" w:cs="Times New Roman"/>
          <w:i/>
          <w:sz w:val="24"/>
          <w:szCs w:val="24"/>
        </w:rPr>
        <w:t>TMB</w:t>
      </w:r>
      <w:r w:rsidR="00DC6BF5" w:rsidRPr="009C37AB">
        <w:rPr>
          <w:rFonts w:ascii="Times New Roman" w:hAnsi="Times New Roman" w:cs="Times New Roman"/>
          <w:sz w:val="24"/>
          <w:szCs w:val="24"/>
        </w:rPr>
        <w:t xml:space="preserve"> from </w:t>
      </w:r>
      <w:r w:rsidR="00DC6BF5" w:rsidRPr="009C37AB">
        <w:rPr>
          <w:rFonts w:ascii="Times New Roman" w:hAnsi="Times New Roman" w:cs="Times New Roman"/>
          <w:i/>
          <w:sz w:val="24"/>
          <w:szCs w:val="24"/>
        </w:rPr>
        <w:t>R</w:t>
      </w:r>
      <w:r w:rsidR="00DC6BF5" w:rsidRPr="009C37AB">
        <w:rPr>
          <w:rFonts w:ascii="Times New Roman" w:hAnsi="Times New Roman" w:cs="Times New Roman"/>
          <w:sz w:val="24"/>
          <w:szCs w:val="24"/>
        </w:rPr>
        <w:t xml:space="preserve"> </w:t>
      </w:r>
      <w:r w:rsidR="00BE7622">
        <w:rPr>
          <w:rFonts w:ascii="Times New Roman" w:hAnsi="Times New Roman" w:cs="Times New Roman"/>
          <w:sz w:val="24"/>
          <w:szCs w:val="24"/>
        </w:rPr>
        <w:t>(Appendix A</w:t>
      </w:r>
      <w:r w:rsidR="008D7D8C" w:rsidRPr="009C37AB">
        <w:rPr>
          <w:rFonts w:ascii="Times New Roman" w:hAnsi="Times New Roman" w:cs="Times New Roman"/>
          <w:sz w:val="24"/>
          <w:szCs w:val="24"/>
        </w:rPr>
        <w:t>)</w:t>
      </w:r>
      <w:r w:rsidR="00C63890" w:rsidRPr="009C37AB">
        <w:rPr>
          <w:rFonts w:ascii="Times New Roman" w:hAnsi="Times New Roman" w:cs="Times New Roman"/>
          <w:sz w:val="24"/>
          <w:szCs w:val="24"/>
        </w:rPr>
        <w:t xml:space="preserve">.  </w:t>
      </w:r>
      <w:r w:rsidR="00D252FF">
        <w:rPr>
          <w:rFonts w:ascii="Times New Roman" w:hAnsi="Times New Roman" w:cs="Times New Roman"/>
          <w:sz w:val="24"/>
          <w:szCs w:val="24"/>
        </w:rPr>
        <w:t xml:space="preserve">We fit the model to </w:t>
      </w:r>
      <w:r w:rsidR="00655AED" w:rsidRPr="009C37AB">
        <w:rPr>
          <w:rFonts w:ascii="Times New Roman" w:hAnsi="Times New Roman" w:cs="Times New Roman"/>
          <w:sz w:val="24"/>
          <w:szCs w:val="24"/>
        </w:rPr>
        <w:t xml:space="preserve">data collected </w:t>
      </w:r>
      <w:r w:rsidR="0017683B">
        <w:rPr>
          <w:rFonts w:ascii="Times New Roman" w:hAnsi="Times New Roman" w:cs="Times New Roman"/>
          <w:sz w:val="24"/>
          <w:szCs w:val="24"/>
        </w:rPr>
        <w:t xml:space="preserve">in the </w:t>
      </w:r>
      <w:r w:rsidR="00890EE0">
        <w:rPr>
          <w:rFonts w:ascii="Times New Roman" w:hAnsi="Times New Roman" w:cs="Times New Roman"/>
          <w:sz w:val="24"/>
          <w:szCs w:val="24"/>
        </w:rPr>
        <w:t>Antarctic</w:t>
      </w:r>
      <w:r w:rsidR="0017683B">
        <w:rPr>
          <w:rFonts w:ascii="Times New Roman" w:hAnsi="Times New Roman" w:cs="Times New Roman"/>
          <w:sz w:val="24"/>
          <w:szCs w:val="24"/>
        </w:rPr>
        <w:t xml:space="preserve"> toothfish </w:t>
      </w:r>
      <w:r w:rsidR="0017683B" w:rsidRPr="009C37AB">
        <w:rPr>
          <w:rFonts w:ascii="Times New Roman" w:hAnsi="Times New Roman" w:cs="Times New Roman"/>
          <w:sz w:val="24"/>
          <w:szCs w:val="24"/>
        </w:rPr>
        <w:t>(</w:t>
      </w:r>
      <w:r w:rsidR="00215572">
        <w:rPr>
          <w:rFonts w:ascii="Times New Roman" w:hAnsi="Times New Roman" w:cs="Times New Roman"/>
          <w:i/>
          <w:sz w:val="24"/>
          <w:szCs w:val="24"/>
        </w:rPr>
        <w:t>Dissostichus mawson</w:t>
      </w:r>
      <w:r w:rsidR="0017683B">
        <w:rPr>
          <w:rFonts w:ascii="Times New Roman" w:hAnsi="Times New Roman" w:cs="Times New Roman"/>
          <w:i/>
          <w:sz w:val="24"/>
          <w:szCs w:val="24"/>
        </w:rPr>
        <w:t>i</w:t>
      </w:r>
      <w:r w:rsidR="0017683B" w:rsidRPr="009C37AB">
        <w:rPr>
          <w:rFonts w:ascii="Times New Roman" w:hAnsi="Times New Roman" w:cs="Times New Roman"/>
          <w:sz w:val="24"/>
          <w:szCs w:val="24"/>
        </w:rPr>
        <w:t>)</w:t>
      </w:r>
      <w:r w:rsidR="0017683B">
        <w:rPr>
          <w:rFonts w:ascii="Times New Roman" w:hAnsi="Times New Roman" w:cs="Times New Roman"/>
          <w:sz w:val="24"/>
          <w:szCs w:val="24"/>
        </w:rPr>
        <w:t xml:space="preserve"> tagging programme</w:t>
      </w:r>
      <w:r w:rsidR="00655AED" w:rsidRPr="009C37AB">
        <w:rPr>
          <w:rFonts w:ascii="Times New Roman" w:hAnsi="Times New Roman" w:cs="Times New Roman"/>
          <w:sz w:val="24"/>
          <w:szCs w:val="24"/>
        </w:rPr>
        <w:t xml:space="preserve"> wherein eac</w:t>
      </w:r>
      <w:r w:rsidR="00E52D78">
        <w:rPr>
          <w:rFonts w:ascii="Times New Roman" w:hAnsi="Times New Roman" w:cs="Times New Roman"/>
          <w:sz w:val="24"/>
          <w:szCs w:val="24"/>
        </w:rPr>
        <w:t>h individual is uniquely tagged and aged at recapture.</w:t>
      </w:r>
    </w:p>
    <w:p w:rsidR="002526DC" w:rsidRDefault="002526DC" w:rsidP="00F71B08">
      <w:pPr>
        <w:tabs>
          <w:tab w:val="left" w:pos="360"/>
          <w:tab w:val="left" w:pos="720"/>
          <w:tab w:val="left" w:pos="8640"/>
        </w:tabs>
        <w:spacing w:after="0" w:line="480" w:lineRule="auto"/>
        <w:jc w:val="both"/>
        <w:rPr>
          <w:rFonts w:ascii="Times New Roman" w:hAnsi="Times New Roman" w:cs="Times New Roman"/>
          <w:sz w:val="24"/>
          <w:szCs w:val="24"/>
        </w:rPr>
      </w:pPr>
    </w:p>
    <w:p w:rsidR="000E273D" w:rsidRPr="00424CBA" w:rsidRDefault="000E273D"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oMath>
      </m:oMathPara>
    </w:p>
    <w:p w:rsidR="00424CBA" w:rsidRDefault="00424CBA"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So</w:t>
      </w:r>
    </w:p>
    <w:p w:rsidR="00424CBA" w:rsidRPr="00424CBA" w:rsidRDefault="00424CBA" w:rsidP="00424CBA">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L</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+1</m:t>
                  </m:r>
                </m:e>
              </m:d>
            </m:e>
          </m:d>
        </m:oMath>
      </m:oMathPara>
    </w:p>
    <w:p w:rsidR="00424CBA" w:rsidRDefault="00424CBA" w:rsidP="00F71B08">
      <w:pPr>
        <w:tabs>
          <w:tab w:val="left" w:pos="360"/>
          <w:tab w:val="left" w:pos="720"/>
          <w:tab w:val="left" w:pos="8640"/>
        </w:tabs>
        <w:spacing w:after="0" w:line="480" w:lineRule="auto"/>
        <w:jc w:val="both"/>
        <w:rPr>
          <w:rFonts w:ascii="Times New Roman" w:hAnsi="Times New Roman" w:cs="Times New Roman"/>
          <w:sz w:val="24"/>
          <w:szCs w:val="24"/>
        </w:rPr>
      </w:pPr>
    </w:p>
    <w:p w:rsidR="0080001A" w:rsidRDefault="0080001A"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Sex-specific gamma could not be estimated (see v7).</w:t>
      </w:r>
    </w:p>
    <w:p w:rsidR="008D1EF6" w:rsidRPr="009C6B60" w:rsidRDefault="008D1EF6" w:rsidP="00F71B08">
      <w:pPr>
        <w:tabs>
          <w:tab w:val="left" w:pos="360"/>
          <w:tab w:val="left" w:pos="720"/>
          <w:tab w:val="left" w:pos="8640"/>
        </w:tabs>
        <w:spacing w:after="0" w:line="480" w:lineRule="auto"/>
        <w:jc w:val="both"/>
        <w:rPr>
          <w:rFonts w:ascii="Times New Roman" w:hAnsi="Times New Roman" w:cs="Times New Roman"/>
          <w:sz w:val="24"/>
          <w:szCs w:val="24"/>
        </w:rPr>
      </w:pPr>
    </w:p>
    <w:p w:rsidR="008D1EF6" w:rsidRDefault="008D1EF6" w:rsidP="008D1EF6">
      <w:pPr>
        <w:rPr>
          <w:rFonts w:ascii="Times New Roman" w:hAnsi="Times New Roman" w:cs="Times New Roman"/>
          <w:sz w:val="24"/>
          <w:szCs w:val="24"/>
        </w:rPr>
      </w:pPr>
      <w:r>
        <w:rPr>
          <w:rFonts w:ascii="Times New Roman" w:hAnsi="Times New Roman" w:cs="Times New Roman"/>
          <w:sz w:val="24"/>
          <w:szCs w:val="24"/>
        </w:rPr>
        <w:t>Table 1 – List of model runs.</w:t>
      </w:r>
    </w:p>
    <w:tbl>
      <w:tblPr>
        <w:tblStyle w:val="TableGrid"/>
        <w:tblW w:w="0" w:type="auto"/>
        <w:tblLook w:val="04A0" w:firstRow="1" w:lastRow="0" w:firstColumn="1" w:lastColumn="0" w:noHBand="0" w:noVBand="1"/>
      </w:tblPr>
      <w:tblGrid>
        <w:gridCol w:w="1327"/>
        <w:gridCol w:w="1299"/>
        <w:gridCol w:w="1497"/>
        <w:gridCol w:w="1355"/>
        <w:gridCol w:w="934"/>
        <w:gridCol w:w="948"/>
        <w:gridCol w:w="1283"/>
      </w:tblGrid>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Model run</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Time-step</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Linf penalty</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L0 penalty</w:t>
            </w: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tvi</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 devs</w:t>
            </w: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Area devs</w:t>
            </w: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Daily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V9</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Weekly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bl>
    <w:p w:rsidR="004E2A0B" w:rsidRDefault="004E2A0B" w:rsidP="00F71B08">
      <w:pPr>
        <w:tabs>
          <w:tab w:val="left" w:pos="360"/>
          <w:tab w:val="left" w:pos="720"/>
          <w:tab w:val="left" w:pos="8640"/>
        </w:tabs>
        <w:spacing w:after="0" w:line="480" w:lineRule="auto"/>
        <w:jc w:val="both"/>
        <w:rPr>
          <w:rFonts w:ascii="Times New Roman" w:hAnsi="Times New Roman" w:cs="Times New Roman"/>
          <w:sz w:val="24"/>
          <w:szCs w:val="24"/>
        </w:rPr>
      </w:pPr>
    </w:p>
    <w:p w:rsidR="004E2A0B" w:rsidRDefault="004E2A0B" w:rsidP="00F71B08">
      <w:pPr>
        <w:tabs>
          <w:tab w:val="left" w:pos="360"/>
          <w:tab w:val="left" w:pos="720"/>
          <w:tab w:val="left" w:pos="8640"/>
        </w:tabs>
        <w:spacing w:after="0" w:line="480" w:lineRule="auto"/>
        <w:jc w:val="both"/>
        <w:rPr>
          <w:rFonts w:ascii="Times New Roman" w:hAnsi="Times New Roman" w:cs="Times New Roman"/>
          <w:sz w:val="24"/>
          <w:szCs w:val="24"/>
        </w:rPr>
      </w:pPr>
    </w:p>
    <w:p w:rsidR="008574DE" w:rsidRPr="009C37AB" w:rsidRDefault="008574DE"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Simulation</w:t>
      </w:r>
    </w:p>
    <w:p w:rsidR="008574DE" w:rsidRPr="00E52B9B" w:rsidRDefault="00427A8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A simulation study was done to validate the model.</w:t>
      </w:r>
    </w:p>
    <w:p w:rsidR="003767B6" w:rsidRPr="00E52B9B" w:rsidRDefault="003767B6"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Simulated data with no random effects, k, z, k and z.</w:t>
      </w:r>
      <w:r w:rsidR="00E54769">
        <w:rPr>
          <w:rFonts w:ascii="Times New Roman" w:hAnsi="Times New Roman" w:cs="Times New Roman"/>
          <w:sz w:val="24"/>
          <w:szCs w:val="24"/>
        </w:rPr>
        <w:t xml:space="preserve"> Did 100 simulations for each of these 4 scenarios</w:t>
      </w:r>
    </w:p>
    <w:p w:rsidR="00E52B9B"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lastRenderedPageBreak/>
        <w:t>Fit the model to the data.</w:t>
      </w:r>
    </w:p>
    <w:p w:rsidR="00E52B9B"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Found that psi could not be estimated reliably</w:t>
      </w:r>
      <w:r w:rsidR="00E54769">
        <w:rPr>
          <w:rFonts w:ascii="Times New Roman" w:hAnsi="Times New Roman" w:cs="Times New Roman"/>
          <w:sz w:val="24"/>
          <w:szCs w:val="24"/>
        </w:rPr>
        <w:t xml:space="preserve"> but when psi was fixed at 0 the model could recover the pars well.</w:t>
      </w:r>
    </w:p>
    <w:p w:rsidR="00E52B9B" w:rsidRPr="00E52B9B" w:rsidRDefault="00BB44CF"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Do table showing number of pdh fits for each of the 4 scenarios. Also show true par values, and mean/median of estimates.</w:t>
      </w:r>
    </w:p>
    <w:p w:rsidR="00A55D1F" w:rsidRDefault="00A55D1F" w:rsidP="00F71B08">
      <w:pPr>
        <w:tabs>
          <w:tab w:val="left" w:pos="360"/>
          <w:tab w:val="left" w:pos="720"/>
          <w:tab w:val="left" w:pos="8640"/>
        </w:tabs>
        <w:spacing w:after="0" w:line="480" w:lineRule="auto"/>
        <w:rPr>
          <w:rFonts w:ascii="Times New Roman" w:hAnsi="Times New Roman" w:cs="Times New Roman"/>
          <w:sz w:val="24"/>
          <w:szCs w:val="24"/>
        </w:rPr>
      </w:pPr>
    </w:p>
    <w:p w:rsidR="00E52B9B" w:rsidRPr="009C37AB" w:rsidRDefault="00E52B9B" w:rsidP="00E52B9B">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Results</w:t>
      </w:r>
    </w:p>
    <w:p w:rsidR="00E52B9B" w:rsidRDefault="00702AE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Simulati</w:t>
      </w:r>
      <w:r w:rsidR="00BB44CF">
        <w:rPr>
          <w:rFonts w:ascii="Times New Roman" w:hAnsi="Times New Roman" w:cs="Times New Roman"/>
          <w:sz w:val="24"/>
          <w:szCs w:val="24"/>
        </w:rPr>
        <w:t>on</w:t>
      </w:r>
    </w:p>
    <w:p w:rsidR="00147A67" w:rsidRDefault="00147A67"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4206249" cy="420624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ars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249" cy="4206249"/>
                    </a:xfrm>
                    <a:prstGeom prst="rect">
                      <a:avLst/>
                    </a:prstGeom>
                  </pic:spPr>
                </pic:pic>
              </a:graphicData>
            </a:graphic>
          </wp:inline>
        </w:drawing>
      </w: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9C0ED4" w:rsidRDefault="009C0ED4" w:rsidP="009C0ED4">
      <w:pPr>
        <w:rPr>
          <w:rFonts w:ascii="Times New Roman" w:hAnsi="Times New Roman" w:cs="Times New Roman"/>
          <w:sz w:val="24"/>
          <w:szCs w:val="24"/>
        </w:rPr>
      </w:pPr>
      <w:r>
        <w:rPr>
          <w:rFonts w:ascii="Times New Roman" w:hAnsi="Times New Roman" w:cs="Times New Roman"/>
          <w:sz w:val="24"/>
          <w:szCs w:val="24"/>
        </w:rPr>
        <w:t>Table 2 – List of simulation runs.</w:t>
      </w:r>
    </w:p>
    <w:tbl>
      <w:tblPr>
        <w:tblStyle w:val="TableGrid"/>
        <w:tblW w:w="9448" w:type="dxa"/>
        <w:tblLook w:val="04A0" w:firstRow="1" w:lastRow="0" w:firstColumn="1" w:lastColumn="0" w:noHBand="0" w:noVBand="1"/>
      </w:tblPr>
      <w:tblGrid>
        <w:gridCol w:w="1849"/>
        <w:gridCol w:w="951"/>
        <w:gridCol w:w="950"/>
        <w:gridCol w:w="948"/>
        <w:gridCol w:w="957"/>
        <w:gridCol w:w="952"/>
        <w:gridCol w:w="947"/>
        <w:gridCol w:w="947"/>
        <w:gridCol w:w="947"/>
      </w:tblGrid>
      <w:tr w:rsidR="009C0ED4" w:rsidTr="009C0ED4">
        <w:tc>
          <w:tcPr>
            <w:tcW w:w="1849"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Random effects</w:t>
            </w:r>
          </w:p>
        </w:tc>
        <w:tc>
          <w:tcPr>
            <w:tcW w:w="951"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pdH</w:t>
            </w:r>
          </w:p>
        </w:tc>
        <w:tc>
          <w:tcPr>
            <w:tcW w:w="950"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L0</w:t>
            </w:r>
          </w:p>
        </w:tc>
        <w:tc>
          <w:tcPr>
            <w:tcW w:w="948"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gamma</w:t>
            </w:r>
          </w:p>
        </w:tc>
        <w:tc>
          <w:tcPr>
            <w:tcW w:w="952"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Sd obs</w:t>
            </w: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None</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 z</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bl>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Estimation</w:t>
      </w: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No random effects</w:t>
      </w:r>
    </w:p>
    <w:p w:rsidR="00E52B9B" w:rsidRDefault="00AD517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Grow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E52B9B" w:rsidRDefault="00E52B9B"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Random effects of k</w:t>
      </w:r>
    </w:p>
    <w:p w:rsidR="007513F7" w:rsidRDefault="007513F7"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Grow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513F7" w:rsidRDefault="007513F7" w:rsidP="00F71B08">
      <w:pPr>
        <w:tabs>
          <w:tab w:val="left" w:pos="360"/>
          <w:tab w:val="left" w:pos="720"/>
          <w:tab w:val="left" w:pos="8640"/>
        </w:tabs>
        <w:spacing w:after="0" w:line="480" w:lineRule="auto"/>
        <w:rPr>
          <w:rFonts w:ascii="Times New Roman" w:hAnsi="Times New Roman" w:cs="Times New Roman"/>
          <w:sz w:val="24"/>
          <w:szCs w:val="24"/>
        </w:rPr>
      </w:pPr>
      <w:bookmarkStart w:id="0" w:name="_GoBack"/>
      <w:bookmarkEnd w:id="0"/>
    </w:p>
    <w:p w:rsidR="00946148" w:rsidRDefault="00FF4139"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VsP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FF4139" w:rsidRDefault="00FF4139"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_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p>
    <w:p w:rsidR="00A55D1F" w:rsidRPr="009C37AB" w:rsidRDefault="00A55D1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Discussion</w:t>
      </w:r>
    </w:p>
    <w:p w:rsidR="00A55D1F" w:rsidRPr="009C6B60" w:rsidRDefault="00A55D1F" w:rsidP="00A55D1F">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Mention how when the model was fit to annual rather than daily growth increments that the estimated parameters resulted in biased high growth schedules.</w:t>
      </w:r>
    </w:p>
    <w:p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Bibliography</w:t>
      </w:r>
    </w:p>
    <w:p w:rsidR="004E6298" w:rsidRPr="004E6298" w:rsidRDefault="00AB2A7D" w:rsidP="004E6298">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4E6298" w:rsidRPr="004E6298">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4E6298" w:rsidRPr="004E6298">
        <w:rPr>
          <w:rFonts w:ascii="Times New Roman" w:hAnsi="Times New Roman" w:cs="Times New Roman"/>
          <w:b/>
          <w:bCs/>
          <w:sz w:val="24"/>
        </w:rPr>
        <w:t>67</w:t>
      </w:r>
      <w:r w:rsidR="004E6298" w:rsidRPr="004E6298">
        <w:rPr>
          <w:rFonts w:ascii="Times New Roman" w:hAnsi="Times New Roman" w:cs="Times New Roman"/>
          <w:sz w:val="24"/>
        </w:rPr>
        <w:t>(7): 1149–1158.</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Francis, R. 1988. Maximum likelihood estimation of growth and growth variability from tagging data. N. Z. J. Mar. Freshw. Res. </w:t>
      </w:r>
      <w:r w:rsidRPr="004E6298">
        <w:rPr>
          <w:rFonts w:ascii="Times New Roman" w:hAnsi="Times New Roman" w:cs="Times New Roman"/>
          <w:b/>
          <w:bCs/>
          <w:sz w:val="24"/>
        </w:rPr>
        <w:t>22</w:t>
      </w:r>
      <w:r w:rsidRPr="004E6298">
        <w:rPr>
          <w:rFonts w:ascii="Times New Roman" w:hAnsi="Times New Roman" w:cs="Times New Roman"/>
          <w:sz w:val="24"/>
        </w:rPr>
        <w:t>(1): 43–51.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Gelman, A. 2005. Analysis of variance—why it is more important than ever. Ann. Stat. </w:t>
      </w:r>
      <w:r w:rsidRPr="004E6298">
        <w:rPr>
          <w:rFonts w:ascii="Times New Roman" w:hAnsi="Times New Roman" w:cs="Times New Roman"/>
          <w:b/>
          <w:bCs/>
          <w:sz w:val="24"/>
        </w:rPr>
        <w:t>33</w:t>
      </w:r>
      <w:r w:rsidRPr="004E6298">
        <w:rPr>
          <w:rFonts w:ascii="Times New Roman" w:hAnsi="Times New Roman" w:cs="Times New Roman"/>
          <w:sz w:val="24"/>
        </w:rPr>
        <w:t>(1): 1–53.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4E6298">
        <w:rPr>
          <w:rFonts w:ascii="Times New Roman" w:hAnsi="Times New Roman" w:cs="Times New Roman"/>
          <w:b/>
          <w:bCs/>
          <w:sz w:val="24"/>
        </w:rPr>
        <w:t>413</w:t>
      </w:r>
      <w:r w:rsidRPr="004E6298">
        <w:rPr>
          <w:rFonts w:ascii="Times New Roman" w:hAnsi="Times New Roman" w:cs="Times New Roman"/>
          <w:sz w:val="24"/>
        </w:rPr>
        <w:t>: 125–136. [accessed 3 May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Larsen, D.P., Kincaid, T.M., Jacobs, S.E., and Urquhart, N.S. 2001. Designs for Evaluating Local and Regional Scale Trends. BioScience </w:t>
      </w:r>
      <w:r w:rsidRPr="004E6298">
        <w:rPr>
          <w:rFonts w:ascii="Times New Roman" w:hAnsi="Times New Roman" w:cs="Times New Roman"/>
          <w:b/>
          <w:bCs/>
          <w:sz w:val="24"/>
        </w:rPr>
        <w:t>51</w:t>
      </w:r>
      <w:r w:rsidRPr="004E6298">
        <w:rPr>
          <w:rFonts w:ascii="Times New Roman" w:hAnsi="Times New Roman" w:cs="Times New Roman"/>
          <w:sz w:val="24"/>
        </w:rPr>
        <w:t>(12): 1069–1078. doi: 10.1641/0006-3568(2001)051[1069:DFELAR]2.0.CO;2.</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Sainsbury, K.J. 1980. Effect of individual variability on the von Bertalanffy growth equation. Can. J. Fish. Aquat. Sci. </w:t>
      </w:r>
      <w:r w:rsidRPr="004E6298">
        <w:rPr>
          <w:rFonts w:ascii="Times New Roman" w:hAnsi="Times New Roman" w:cs="Times New Roman"/>
          <w:b/>
          <w:bCs/>
          <w:sz w:val="24"/>
        </w:rPr>
        <w:t>37</w:t>
      </w:r>
      <w:r w:rsidRPr="004E6298">
        <w:rPr>
          <w:rFonts w:ascii="Times New Roman" w:hAnsi="Times New Roman" w:cs="Times New Roman"/>
          <w:sz w:val="24"/>
        </w:rPr>
        <w:t>(2): 241–247.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4E6298">
        <w:rPr>
          <w:rFonts w:ascii="Times New Roman" w:hAnsi="Times New Roman" w:cs="Times New Roman"/>
          <w:b/>
          <w:bCs/>
          <w:sz w:val="24"/>
        </w:rPr>
        <w:t>181</w:t>
      </w:r>
      <w:r w:rsidRPr="004E6298">
        <w:rPr>
          <w:rFonts w:ascii="Times New Roman" w:hAnsi="Times New Roman" w:cs="Times New Roman"/>
          <w:sz w:val="24"/>
        </w:rPr>
        <w:t>(6): 799–814. [accessed 8 October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Taylor, I.G., and Methot, R.D. 2013. Hiding or dead? A computationally efficient model of selective fisheries mortality. Fish. Res. </w:t>
      </w:r>
      <w:r w:rsidRPr="004E6298">
        <w:rPr>
          <w:rFonts w:ascii="Times New Roman" w:hAnsi="Times New Roman" w:cs="Times New Roman"/>
          <w:b/>
          <w:bCs/>
          <w:sz w:val="24"/>
        </w:rPr>
        <w:t>142</w:t>
      </w:r>
      <w:r w:rsidRPr="004E6298">
        <w:rPr>
          <w:rFonts w:ascii="Times New Roman" w:hAnsi="Times New Roman" w:cs="Times New Roman"/>
          <w:sz w:val="24"/>
        </w:rPr>
        <w:t>: 75–85. [accessed 20 April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Minte-Vera, C. In press. Relative magnitude of cohort, age, and year effects on size at age of exploited marine fishes. Fish. Res.</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Minto, C. In press. Mixed effects: a unifying framework for modelling in aquatic ecology. ICES J. Mar. Sci.</w:t>
      </w:r>
    </w:p>
    <w:p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13"/>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p>
    <w:p w:rsidR="00F71B08" w:rsidRDefault="00F71B08" w:rsidP="0089043B">
      <w:pPr>
        <w:tabs>
          <w:tab w:val="left" w:pos="360"/>
          <w:tab w:val="left" w:pos="720"/>
          <w:tab w:val="left" w:pos="8640"/>
        </w:tabs>
        <w:spacing w:after="0" w:line="480" w:lineRule="auto"/>
        <w:rPr>
          <w:rFonts w:ascii="Times New Roman" w:hAnsi="Times New Roman" w:cs="Times New Roman"/>
          <w:sz w:val="24"/>
          <w:szCs w:val="24"/>
        </w:rPr>
      </w:pPr>
    </w:p>
    <w:p w:rsidR="00817B08" w:rsidRPr="009C37AB" w:rsidRDefault="00A22698" w:rsidP="00817B08">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Appendix A</w:t>
      </w:r>
      <w:r w:rsidR="00817B08" w:rsidRPr="009C37AB">
        <w:rPr>
          <w:rFonts w:ascii="Times New Roman" w:hAnsi="Times New Roman" w:cs="Times New Roman"/>
          <w:b/>
          <w:sz w:val="24"/>
          <w:szCs w:val="24"/>
        </w:rPr>
        <w:t xml:space="preserve"> – Code for calling </w:t>
      </w:r>
      <w:r>
        <w:rPr>
          <w:rFonts w:ascii="Times New Roman" w:hAnsi="Times New Roman" w:cs="Times New Roman"/>
          <w:b/>
          <w:i/>
          <w:sz w:val="24"/>
          <w:szCs w:val="24"/>
        </w:rPr>
        <w:t>TMB</w:t>
      </w:r>
      <w:r w:rsidR="00817B08" w:rsidRPr="009C37AB">
        <w:rPr>
          <w:rFonts w:ascii="Times New Roman" w:hAnsi="Times New Roman" w:cs="Times New Roman"/>
          <w:b/>
          <w:sz w:val="24"/>
          <w:szCs w:val="24"/>
        </w:rPr>
        <w:t xml:space="preserve"> from within </w:t>
      </w:r>
      <w:r w:rsidR="00817B08" w:rsidRPr="009C37AB">
        <w:rPr>
          <w:rFonts w:ascii="Times New Roman" w:hAnsi="Times New Roman" w:cs="Times New Roman"/>
          <w:b/>
          <w:i/>
          <w:sz w:val="24"/>
          <w:szCs w:val="24"/>
        </w:rPr>
        <w:t>R</w:t>
      </w:r>
    </w:p>
    <w:p w:rsidR="00817B08" w:rsidRPr="00D90579" w:rsidRDefault="00817B08" w:rsidP="00817B08">
      <w:pPr>
        <w:tabs>
          <w:tab w:val="left" w:pos="360"/>
          <w:tab w:val="left" w:pos="720"/>
          <w:tab w:val="left" w:pos="8640"/>
        </w:tabs>
        <w:spacing w:after="0" w:line="240" w:lineRule="auto"/>
        <w:rPr>
          <w:rFonts w:ascii="Times New Roman" w:hAnsi="Times New Roman" w:cs="Times New Roman"/>
          <w:sz w:val="20"/>
          <w:szCs w:val="20"/>
        </w:rPr>
      </w:pPr>
    </w:p>
    <w:p w:rsidR="00E76581" w:rsidRDefault="00E76581">
      <w:pPr>
        <w:rPr>
          <w:rFonts w:ascii="Times New Roman" w:hAnsi="Times New Roman" w:cs="Times New Roman"/>
          <w:sz w:val="24"/>
          <w:szCs w:val="24"/>
        </w:rPr>
      </w:pPr>
      <w:r>
        <w:rPr>
          <w:rFonts w:ascii="Times New Roman" w:hAnsi="Times New Roman" w:cs="Times New Roman"/>
          <w:sz w:val="24"/>
          <w:szCs w:val="24"/>
        </w:rPr>
        <w:br w:type="page"/>
      </w:r>
    </w:p>
    <w:p w:rsidR="003819DE" w:rsidRDefault="00E76581" w:rsidP="00581C85">
      <w:pPr>
        <w:rPr>
          <w:rFonts w:ascii="Times New Roman" w:hAnsi="Times New Roman" w:cs="Times New Roman"/>
          <w:sz w:val="24"/>
          <w:szCs w:val="24"/>
        </w:rPr>
      </w:pPr>
      <w:r>
        <w:rPr>
          <w:rFonts w:ascii="Times New Roman" w:hAnsi="Times New Roman" w:cs="Times New Roman"/>
          <w:sz w:val="24"/>
          <w:szCs w:val="24"/>
        </w:rPr>
        <w:lastRenderedPageBreak/>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7285" w:type="dxa"/>
        <w:tblLook w:val="04A0" w:firstRow="1" w:lastRow="0" w:firstColumn="1" w:lastColumn="0" w:noHBand="0" w:noVBand="1"/>
      </w:tblPr>
      <w:tblGrid>
        <w:gridCol w:w="3862"/>
        <w:gridCol w:w="1083"/>
        <w:gridCol w:w="857"/>
        <w:gridCol w:w="1483"/>
      </w:tblGrid>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Parameter name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Symbol</w:t>
            </w:r>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Dimensions</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DF5788"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rsidR="00CD12C3" w:rsidRPr="00B344A8" w:rsidRDefault="00CD12C3" w:rsidP="00E76581">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AC7ED2" w:rsidTr="00F17AE7">
        <w:tc>
          <w:tcPr>
            <w:tcW w:w="3862" w:type="dxa"/>
          </w:tcPr>
          <w:p w:rsidR="00AC7ED2"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rsidR="00AC7ED2" w:rsidRDefault="00147A67"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857"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147A67" w:rsidP="00E76581">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b</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E05DC9"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38117F" w:rsidTr="00F6411C">
        <w:tc>
          <w:tcPr>
            <w:tcW w:w="3862"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rsidR="0038117F" w:rsidRDefault="00147A67"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857"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Brody growth coefficient</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38117F" w:rsidTr="00F17AE7">
        <w:tc>
          <w:tcPr>
            <w:tcW w:w="3862" w:type="dxa"/>
          </w:tcPr>
          <w:p w:rsidR="0038117F"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rsidR="0038117F" w:rsidRDefault="00147A67"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857" w:type="dxa"/>
          </w:tcPr>
          <w:p w:rsidR="0038117F" w:rsidRDefault="00E70A9F"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38117F" w:rsidRDefault="0038117F"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DC613A"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Observation error </w:t>
            </w:r>
            <w:r w:rsidR="00A60FF5">
              <w:rPr>
                <w:rFonts w:ascii="Times New Roman" w:hAnsi="Times New Roman" w:cs="Times New Roman"/>
                <w:sz w:val="24"/>
                <w:szCs w:val="24"/>
              </w:rPr>
              <w:t>standard deviation</w:t>
            </w:r>
          </w:p>
        </w:tc>
        <w:tc>
          <w:tcPr>
            <w:tcW w:w="1083" w:type="dxa"/>
          </w:tcPr>
          <w:p w:rsidR="00CD12C3" w:rsidRDefault="00147A67"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0A5AF8" w:rsidP="000A5AF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 s</w:t>
            </w:r>
            <w:r w:rsidR="00BF647D">
              <w:rPr>
                <w:rFonts w:ascii="Times New Roman" w:hAnsi="Times New Roman" w:cs="Times New Roman"/>
                <w:sz w:val="24"/>
                <w:szCs w:val="24"/>
              </w:rPr>
              <w:t>tandard deviation</w:t>
            </w:r>
          </w:p>
        </w:tc>
        <w:tc>
          <w:tcPr>
            <w:tcW w:w="1083" w:type="dxa"/>
          </w:tcPr>
          <w:p w:rsidR="00CD12C3" w:rsidRPr="00706242" w:rsidRDefault="00147A67"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eastAsia="SimSun" w:hAnsi="Cambria Math" w:cs="Times New Roman"/>
                    <w:sz w:val="24"/>
                    <w:szCs w:val="24"/>
                  </w:rPr>
                  <m:t>s</m:t>
                </m:r>
              </m:oMath>
            </m:oMathPara>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147A67"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m:rPr>
                        <m:sty m:val="bi"/>
                      </m:rPr>
                      <w:rPr>
                        <w:rFonts w:ascii="Cambria Math" w:eastAsia="SimSun" w:hAnsi="Cambria Math" w:cs="Times New Roman"/>
                        <w:sz w:val="24"/>
                        <w:szCs w:val="24"/>
                      </w:rPr>
                      <m:t>x</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147A67"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147A67"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rsidR="008E499E" w:rsidRDefault="008E499E" w:rsidP="00581C85">
      <w:pPr>
        <w:rPr>
          <w:rFonts w:ascii="Times New Roman" w:hAnsi="Times New Roman" w:cs="Times New Roman"/>
          <w:sz w:val="24"/>
          <w:szCs w:val="24"/>
        </w:rPr>
      </w:pPr>
    </w:p>
    <w:p w:rsidR="00266774" w:rsidRPr="009C37AB" w:rsidRDefault="00266774" w:rsidP="00581C85">
      <w:pPr>
        <w:rPr>
          <w:rFonts w:ascii="Times New Roman" w:hAnsi="Times New Roman" w:cs="Times New Roman"/>
          <w:sz w:val="24"/>
          <w:szCs w:val="24"/>
        </w:rPr>
      </w:pPr>
    </w:p>
    <w:sectPr w:rsidR="00266774" w:rsidRPr="009C37AB"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A67" w:rsidRDefault="00147A67" w:rsidP="00D21621">
      <w:pPr>
        <w:spacing w:after="0" w:line="240" w:lineRule="auto"/>
      </w:pPr>
      <w:r>
        <w:separator/>
      </w:r>
    </w:p>
  </w:endnote>
  <w:endnote w:type="continuationSeparator" w:id="0">
    <w:p w:rsidR="00147A67" w:rsidRDefault="00147A67"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05728"/>
      <w:docPartObj>
        <w:docPartGallery w:val="Page Numbers (Bottom of Page)"/>
        <w:docPartUnique/>
      </w:docPartObj>
    </w:sdtPr>
    <w:sdtContent>
      <w:p w:rsidR="00147A67" w:rsidRDefault="00147A67">
        <w:pPr>
          <w:pStyle w:val="Footer"/>
          <w:jc w:val="center"/>
        </w:pPr>
        <w:r>
          <w:fldChar w:fldCharType="begin"/>
        </w:r>
        <w:r>
          <w:instrText xml:space="preserve"> PAGE   \* MERGEFORMAT </w:instrText>
        </w:r>
        <w:r>
          <w:fldChar w:fldCharType="separate"/>
        </w:r>
        <w:r w:rsidR="000E44B5">
          <w:rPr>
            <w:noProof/>
          </w:rPr>
          <w:t>16</w:t>
        </w:r>
        <w:r>
          <w:rPr>
            <w:noProof/>
          </w:rPr>
          <w:fldChar w:fldCharType="end"/>
        </w:r>
      </w:p>
    </w:sdtContent>
  </w:sdt>
  <w:p w:rsidR="00147A67" w:rsidRDefault="00147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A67" w:rsidRDefault="00147A67" w:rsidP="00D21621">
      <w:pPr>
        <w:spacing w:after="0" w:line="240" w:lineRule="auto"/>
      </w:pPr>
      <w:r>
        <w:separator/>
      </w:r>
    </w:p>
  </w:footnote>
  <w:footnote w:type="continuationSeparator" w:id="0">
    <w:p w:rsidR="00147A67" w:rsidRDefault="00147A67"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2251C"/>
    <w:rsid w:val="00022847"/>
    <w:rsid w:val="00027299"/>
    <w:rsid w:val="00036315"/>
    <w:rsid w:val="00041488"/>
    <w:rsid w:val="00044487"/>
    <w:rsid w:val="00051BF5"/>
    <w:rsid w:val="000575B1"/>
    <w:rsid w:val="00070308"/>
    <w:rsid w:val="000733CF"/>
    <w:rsid w:val="000746E4"/>
    <w:rsid w:val="00074E82"/>
    <w:rsid w:val="0009167D"/>
    <w:rsid w:val="00091C30"/>
    <w:rsid w:val="000A2422"/>
    <w:rsid w:val="000A5AF8"/>
    <w:rsid w:val="000B6524"/>
    <w:rsid w:val="000C349A"/>
    <w:rsid w:val="000C7901"/>
    <w:rsid w:val="000D54BF"/>
    <w:rsid w:val="000D7CE0"/>
    <w:rsid w:val="000D7E81"/>
    <w:rsid w:val="000E273D"/>
    <w:rsid w:val="000E44B5"/>
    <w:rsid w:val="000E6639"/>
    <w:rsid w:val="00103F5A"/>
    <w:rsid w:val="001118E8"/>
    <w:rsid w:val="00122FC8"/>
    <w:rsid w:val="001400CD"/>
    <w:rsid w:val="00147A67"/>
    <w:rsid w:val="0017683B"/>
    <w:rsid w:val="001910E9"/>
    <w:rsid w:val="00192981"/>
    <w:rsid w:val="001953FE"/>
    <w:rsid w:val="0019699F"/>
    <w:rsid w:val="001B594F"/>
    <w:rsid w:val="001C3BA8"/>
    <w:rsid w:val="001C6389"/>
    <w:rsid w:val="001D4B5F"/>
    <w:rsid w:val="001F2C5D"/>
    <w:rsid w:val="001F3564"/>
    <w:rsid w:val="00215572"/>
    <w:rsid w:val="00222EE1"/>
    <w:rsid w:val="00230447"/>
    <w:rsid w:val="002400BB"/>
    <w:rsid w:val="0024310C"/>
    <w:rsid w:val="00244483"/>
    <w:rsid w:val="00247CAC"/>
    <w:rsid w:val="00250422"/>
    <w:rsid w:val="002526DC"/>
    <w:rsid w:val="002648DA"/>
    <w:rsid w:val="00266774"/>
    <w:rsid w:val="00297EDF"/>
    <w:rsid w:val="002A3F7F"/>
    <w:rsid w:val="002A6000"/>
    <w:rsid w:val="002B4908"/>
    <w:rsid w:val="002C5016"/>
    <w:rsid w:val="002C582E"/>
    <w:rsid w:val="002E0656"/>
    <w:rsid w:val="00307F62"/>
    <w:rsid w:val="00321705"/>
    <w:rsid w:val="0033736C"/>
    <w:rsid w:val="00341937"/>
    <w:rsid w:val="0035468C"/>
    <w:rsid w:val="00374476"/>
    <w:rsid w:val="0037498F"/>
    <w:rsid w:val="003767B6"/>
    <w:rsid w:val="0038117F"/>
    <w:rsid w:val="003819DE"/>
    <w:rsid w:val="003827F9"/>
    <w:rsid w:val="003914E0"/>
    <w:rsid w:val="003A3279"/>
    <w:rsid w:val="003B1F46"/>
    <w:rsid w:val="003B2E52"/>
    <w:rsid w:val="003C00F6"/>
    <w:rsid w:val="003C1225"/>
    <w:rsid w:val="003C6CBA"/>
    <w:rsid w:val="00404A48"/>
    <w:rsid w:val="00407481"/>
    <w:rsid w:val="004213C9"/>
    <w:rsid w:val="00421673"/>
    <w:rsid w:val="00422C0C"/>
    <w:rsid w:val="00423124"/>
    <w:rsid w:val="00424CBA"/>
    <w:rsid w:val="00427A8C"/>
    <w:rsid w:val="004553AA"/>
    <w:rsid w:val="00462A77"/>
    <w:rsid w:val="00465E37"/>
    <w:rsid w:val="004732A0"/>
    <w:rsid w:val="00477473"/>
    <w:rsid w:val="004850C6"/>
    <w:rsid w:val="00491E8E"/>
    <w:rsid w:val="004B1687"/>
    <w:rsid w:val="004B1E6C"/>
    <w:rsid w:val="004C2243"/>
    <w:rsid w:val="004C2630"/>
    <w:rsid w:val="004D0B4A"/>
    <w:rsid w:val="004E2A0B"/>
    <w:rsid w:val="004E4108"/>
    <w:rsid w:val="004E6298"/>
    <w:rsid w:val="00507964"/>
    <w:rsid w:val="00550A9A"/>
    <w:rsid w:val="00570D16"/>
    <w:rsid w:val="00572C51"/>
    <w:rsid w:val="005745C0"/>
    <w:rsid w:val="00577B8B"/>
    <w:rsid w:val="00581C85"/>
    <w:rsid w:val="00584E95"/>
    <w:rsid w:val="00587399"/>
    <w:rsid w:val="005A4504"/>
    <w:rsid w:val="005B705A"/>
    <w:rsid w:val="005E3599"/>
    <w:rsid w:val="005F4D7C"/>
    <w:rsid w:val="006024D6"/>
    <w:rsid w:val="006170A6"/>
    <w:rsid w:val="00620775"/>
    <w:rsid w:val="00634CE3"/>
    <w:rsid w:val="00637679"/>
    <w:rsid w:val="006548B2"/>
    <w:rsid w:val="00655AED"/>
    <w:rsid w:val="00657CB4"/>
    <w:rsid w:val="00672EE4"/>
    <w:rsid w:val="006D0082"/>
    <w:rsid w:val="006E2633"/>
    <w:rsid w:val="00702AE4"/>
    <w:rsid w:val="0070458D"/>
    <w:rsid w:val="00706F6D"/>
    <w:rsid w:val="007233F4"/>
    <w:rsid w:val="00723CCB"/>
    <w:rsid w:val="00726AF6"/>
    <w:rsid w:val="00732B0D"/>
    <w:rsid w:val="00733167"/>
    <w:rsid w:val="007360A0"/>
    <w:rsid w:val="00743673"/>
    <w:rsid w:val="007513F7"/>
    <w:rsid w:val="00772D9F"/>
    <w:rsid w:val="0077377F"/>
    <w:rsid w:val="00795CB0"/>
    <w:rsid w:val="007A0F09"/>
    <w:rsid w:val="007A13BB"/>
    <w:rsid w:val="007A2E69"/>
    <w:rsid w:val="007A2F00"/>
    <w:rsid w:val="007A7191"/>
    <w:rsid w:val="007B64AA"/>
    <w:rsid w:val="007C7FCD"/>
    <w:rsid w:val="007D4BAD"/>
    <w:rsid w:val="007F3AEA"/>
    <w:rsid w:val="0080001A"/>
    <w:rsid w:val="00801518"/>
    <w:rsid w:val="00806E4F"/>
    <w:rsid w:val="008100AA"/>
    <w:rsid w:val="00817B08"/>
    <w:rsid w:val="00827676"/>
    <w:rsid w:val="008374FC"/>
    <w:rsid w:val="00842DDE"/>
    <w:rsid w:val="008574DE"/>
    <w:rsid w:val="00861AFB"/>
    <w:rsid w:val="00870ACE"/>
    <w:rsid w:val="008717A7"/>
    <w:rsid w:val="00875F14"/>
    <w:rsid w:val="0088056C"/>
    <w:rsid w:val="0089043B"/>
    <w:rsid w:val="00890EE0"/>
    <w:rsid w:val="00896BD0"/>
    <w:rsid w:val="00897842"/>
    <w:rsid w:val="008A1964"/>
    <w:rsid w:val="008A49FF"/>
    <w:rsid w:val="008B5C34"/>
    <w:rsid w:val="008C7712"/>
    <w:rsid w:val="008D1B58"/>
    <w:rsid w:val="008D1EF6"/>
    <w:rsid w:val="008D29C2"/>
    <w:rsid w:val="008D7D8C"/>
    <w:rsid w:val="008E2586"/>
    <w:rsid w:val="008E499E"/>
    <w:rsid w:val="008E5E33"/>
    <w:rsid w:val="008E7084"/>
    <w:rsid w:val="008F76EB"/>
    <w:rsid w:val="00902C41"/>
    <w:rsid w:val="00907D48"/>
    <w:rsid w:val="00922696"/>
    <w:rsid w:val="009231A6"/>
    <w:rsid w:val="00940E38"/>
    <w:rsid w:val="00942591"/>
    <w:rsid w:val="00943808"/>
    <w:rsid w:val="00946148"/>
    <w:rsid w:val="00950562"/>
    <w:rsid w:val="00963A47"/>
    <w:rsid w:val="009738B0"/>
    <w:rsid w:val="009841E5"/>
    <w:rsid w:val="00996A1F"/>
    <w:rsid w:val="009B3149"/>
    <w:rsid w:val="009B583F"/>
    <w:rsid w:val="009C07ED"/>
    <w:rsid w:val="009C0ED4"/>
    <w:rsid w:val="009C37AB"/>
    <w:rsid w:val="009C6B60"/>
    <w:rsid w:val="009E001B"/>
    <w:rsid w:val="009F6A06"/>
    <w:rsid w:val="00A04FDF"/>
    <w:rsid w:val="00A07DE8"/>
    <w:rsid w:val="00A22698"/>
    <w:rsid w:val="00A33E22"/>
    <w:rsid w:val="00A432C6"/>
    <w:rsid w:val="00A54DCC"/>
    <w:rsid w:val="00A55D1F"/>
    <w:rsid w:val="00A60FF5"/>
    <w:rsid w:val="00A72B89"/>
    <w:rsid w:val="00A8413F"/>
    <w:rsid w:val="00A9144C"/>
    <w:rsid w:val="00A94EC6"/>
    <w:rsid w:val="00AA0DA9"/>
    <w:rsid w:val="00AB2A7D"/>
    <w:rsid w:val="00AC7ED2"/>
    <w:rsid w:val="00AD5176"/>
    <w:rsid w:val="00AE3F42"/>
    <w:rsid w:val="00B06A56"/>
    <w:rsid w:val="00B133A3"/>
    <w:rsid w:val="00B147D2"/>
    <w:rsid w:val="00B27000"/>
    <w:rsid w:val="00B344A8"/>
    <w:rsid w:val="00B466AE"/>
    <w:rsid w:val="00B54B63"/>
    <w:rsid w:val="00B66D5E"/>
    <w:rsid w:val="00B711EC"/>
    <w:rsid w:val="00B73CF0"/>
    <w:rsid w:val="00B8286D"/>
    <w:rsid w:val="00B94CBC"/>
    <w:rsid w:val="00BA4710"/>
    <w:rsid w:val="00BA6D31"/>
    <w:rsid w:val="00BB132F"/>
    <w:rsid w:val="00BB44CF"/>
    <w:rsid w:val="00BD775D"/>
    <w:rsid w:val="00BE3F76"/>
    <w:rsid w:val="00BE7622"/>
    <w:rsid w:val="00BF647D"/>
    <w:rsid w:val="00C06676"/>
    <w:rsid w:val="00C17515"/>
    <w:rsid w:val="00C40FF2"/>
    <w:rsid w:val="00C41D0B"/>
    <w:rsid w:val="00C62558"/>
    <w:rsid w:val="00C63890"/>
    <w:rsid w:val="00C7025B"/>
    <w:rsid w:val="00C726CF"/>
    <w:rsid w:val="00C814FD"/>
    <w:rsid w:val="00C84B1E"/>
    <w:rsid w:val="00C8648B"/>
    <w:rsid w:val="00C91ECF"/>
    <w:rsid w:val="00C93C83"/>
    <w:rsid w:val="00CA2ADD"/>
    <w:rsid w:val="00CA744D"/>
    <w:rsid w:val="00CB02C9"/>
    <w:rsid w:val="00CB43F1"/>
    <w:rsid w:val="00CB44C6"/>
    <w:rsid w:val="00CB496A"/>
    <w:rsid w:val="00CB6F4F"/>
    <w:rsid w:val="00CB760B"/>
    <w:rsid w:val="00CC5B6B"/>
    <w:rsid w:val="00CD12C3"/>
    <w:rsid w:val="00CE3790"/>
    <w:rsid w:val="00CE6E8D"/>
    <w:rsid w:val="00CF0504"/>
    <w:rsid w:val="00CF5747"/>
    <w:rsid w:val="00D00F77"/>
    <w:rsid w:val="00D018E5"/>
    <w:rsid w:val="00D072D1"/>
    <w:rsid w:val="00D07864"/>
    <w:rsid w:val="00D141B9"/>
    <w:rsid w:val="00D17015"/>
    <w:rsid w:val="00D21621"/>
    <w:rsid w:val="00D252FF"/>
    <w:rsid w:val="00D269B9"/>
    <w:rsid w:val="00D30258"/>
    <w:rsid w:val="00D32788"/>
    <w:rsid w:val="00D66CB2"/>
    <w:rsid w:val="00D82E23"/>
    <w:rsid w:val="00D851A4"/>
    <w:rsid w:val="00D868CF"/>
    <w:rsid w:val="00D90579"/>
    <w:rsid w:val="00D92192"/>
    <w:rsid w:val="00D93B9E"/>
    <w:rsid w:val="00D9718B"/>
    <w:rsid w:val="00DA5983"/>
    <w:rsid w:val="00DB676E"/>
    <w:rsid w:val="00DC11C2"/>
    <w:rsid w:val="00DC613A"/>
    <w:rsid w:val="00DC680B"/>
    <w:rsid w:val="00DC6BF5"/>
    <w:rsid w:val="00DC7715"/>
    <w:rsid w:val="00DE639A"/>
    <w:rsid w:val="00DF2EF2"/>
    <w:rsid w:val="00DF5788"/>
    <w:rsid w:val="00E05DC9"/>
    <w:rsid w:val="00E20BAE"/>
    <w:rsid w:val="00E34336"/>
    <w:rsid w:val="00E503C0"/>
    <w:rsid w:val="00E51F89"/>
    <w:rsid w:val="00E52B9B"/>
    <w:rsid w:val="00E52D78"/>
    <w:rsid w:val="00E54769"/>
    <w:rsid w:val="00E70A9F"/>
    <w:rsid w:val="00E76581"/>
    <w:rsid w:val="00E80F51"/>
    <w:rsid w:val="00E90ECD"/>
    <w:rsid w:val="00E91063"/>
    <w:rsid w:val="00E92231"/>
    <w:rsid w:val="00E94B6C"/>
    <w:rsid w:val="00E95BC6"/>
    <w:rsid w:val="00E96556"/>
    <w:rsid w:val="00EA284B"/>
    <w:rsid w:val="00EA3D66"/>
    <w:rsid w:val="00EA6722"/>
    <w:rsid w:val="00EB46D1"/>
    <w:rsid w:val="00EC1BDC"/>
    <w:rsid w:val="00ED1059"/>
    <w:rsid w:val="00EE26BF"/>
    <w:rsid w:val="00F03978"/>
    <w:rsid w:val="00F1568A"/>
    <w:rsid w:val="00F17AE7"/>
    <w:rsid w:val="00F2106D"/>
    <w:rsid w:val="00F26455"/>
    <w:rsid w:val="00F52ABC"/>
    <w:rsid w:val="00F6411C"/>
    <w:rsid w:val="00F71B08"/>
    <w:rsid w:val="00F757E8"/>
    <w:rsid w:val="00F8200B"/>
    <w:rsid w:val="00F84221"/>
    <w:rsid w:val="00F85DD6"/>
    <w:rsid w:val="00FA313D"/>
    <w:rsid w:val="00FB17A0"/>
    <w:rsid w:val="00FC5D92"/>
    <w:rsid w:val="00FC682C"/>
    <w:rsid w:val="00FC7639"/>
    <w:rsid w:val="00FD7A35"/>
    <w:rsid w:val="00FF2CB8"/>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D34FD7-FB93-4704-899A-4D78C69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semiHidden/>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76D6A-F30D-4FFC-B177-42FF581A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16</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darcy</cp:lastModifiedBy>
  <cp:revision>187</cp:revision>
  <dcterms:created xsi:type="dcterms:W3CDTF">2013-11-14T23:57:00Z</dcterms:created>
  <dcterms:modified xsi:type="dcterms:W3CDTF">2014-12-25T22:43:00Z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zotero-version="4.0.24.1"&gt;&lt;session id="aFIPPQiR"/&gt;&lt;style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