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urbanization</w:t>
      </w:r>
      <w:r>
        <w:t xml:space="preserve"> </w:t>
      </w:r>
      <w:r>
        <w:t xml:space="preserve">and</w:t>
      </w:r>
      <w:r>
        <w:t xml:space="preserve"> </w:t>
      </w:r>
      <w:r>
        <w:t xml:space="preserve">diet</w:t>
      </w:r>
      <w:r>
        <w:t xml:space="preserve"> </w:t>
      </w:r>
      <w:r>
        <w:t xml:space="preserve">on</w:t>
      </w:r>
      <w:r>
        <w:t xml:space="preserve"> </w:t>
      </w:r>
      <w:r>
        <w:t xml:space="preserve">the</w:t>
      </w:r>
      <w:r>
        <w:t xml:space="preserve"> </w:t>
      </w:r>
      <w:r>
        <w:t xml:space="preserve">microbiome</w:t>
      </w:r>
      <w:r>
        <w:t xml:space="preserve"> </w:t>
      </w:r>
      <w:r>
        <w:t xml:space="preserve">of</w:t>
      </w:r>
      <w:r>
        <w:t xml:space="preserve"> </w:t>
      </w:r>
      <w:r>
        <w:t xml:space="preserve">the</w:t>
      </w:r>
      <w:r>
        <w:t xml:space="preserve"> </w:t>
      </w:r>
      <w:r>
        <w:t xml:space="preserve">western</w:t>
      </w:r>
      <w:r>
        <w:t xml:space="preserve"> </w:t>
      </w:r>
      <w:r>
        <w:t xml:space="preserve">black</w:t>
      </w:r>
      <w:r>
        <w:t xml:space="preserve"> </w:t>
      </w:r>
      <w:r>
        <w:t xml:space="preserve">widow</w:t>
      </w:r>
      <w:r>
        <w:t xml:space="preserve"> </w:t>
      </w:r>
      <w:r>
        <w:t xml:space="preserve">(</w:t>
      </w:r>
      <w:r>
        <w:rPr>
          <w:iCs/>
          <w:i/>
        </w:rPr>
        <w:t xml:space="preserve">Latrodectus</w:t>
      </w:r>
      <w:r>
        <w:rPr>
          <w:iCs/>
          <w:i/>
        </w:rPr>
        <w:t xml:space="preserve"> </w:t>
      </w:r>
      <w:r>
        <w:rPr>
          <w:iCs/>
          <w:i/>
        </w:rPr>
        <w:t xml:space="preserve">hesperus</w:t>
      </w:r>
      <w:r>
        <w:t xml:space="preserve">)</w:t>
      </w:r>
    </w:p>
    <w:bookmarkStart w:id="20" w:name="abstract"/>
    <w:p>
      <w:pPr>
        <w:pStyle w:val="Heading1"/>
      </w:pPr>
      <w:r>
        <w:t xml:space="preserve">Abstract</w:t>
      </w:r>
    </w:p>
    <w:p>
      <w:pPr>
        <w:pStyle w:val="FirstParagraph"/>
      </w:pPr>
      <w:r>
        <w:t xml:space="preserve">…</w:t>
      </w:r>
    </w:p>
    <w:p>
      <w:pPr>
        <w:pStyle w:val="BodyText"/>
      </w:pPr>
      <w:r>
        <w:t xml:space="preserve">Keywords :</w:t>
      </w:r>
    </w:p>
    <w:p>
      <w:r>
        <w:br w:type="page"/>
      </w:r>
    </w:p>
    <w:bookmarkEnd w:id="20"/>
    <w:bookmarkStart w:id="21" w:name="introduction"/>
    <w:p>
      <w:pPr>
        <w:pStyle w:val="Heading1"/>
      </w:pPr>
      <w:r>
        <w:t xml:space="preserve">Introduction</w:t>
      </w:r>
    </w:p>
    <w:p>
      <w:pPr>
        <w:pStyle w:val="FirstParagraph"/>
      </w:pPr>
      <w:r>
        <w:t xml:space="preserve">Human-induced environmental modifications alter trophic interactions by reshaping prey and predator communities (REFS). An increasing number of studies report a massive loss of arthropod species diversity, which is the most diverse group in the animal kingdom</w:t>
      </w:r>
      <w:r>
        <w:t xml:space="preserve"> </w:t>
      </w:r>
      <w:r>
        <w:t xml:space="preserve">(Giribet and Edgecombe 2010)</w:t>
      </w:r>
      <w:r>
        <w:t xml:space="preserve">, due to the combined effects of urbanization and human activities</w:t>
      </w:r>
      <w:r>
        <w:t xml:space="preserve"> </w:t>
      </w:r>
      <w:r>
        <w:t xml:space="preserve">(Newbold et al. 2015, Bosmans et al. 2018, Seibold et al. 2019)</w:t>
      </w:r>
      <w:r>
        <w:t xml:space="preserve">. For instance, urbanization transforms the habitat characteristics where predatory arthropods hunt (REFS), which may then incur changes in the community composition of their prey</w:t>
      </w:r>
      <w:r>
        <w:t xml:space="preserve"> </w:t>
      </w:r>
      <w:r>
        <w:t xml:space="preserve">(Hallmann et al. 2017, Seibold et al. 2019)</w:t>
      </w:r>
      <w:r>
        <w:t xml:space="preserve">. Consequently, these new environmental pressures can lead to drastic diet changes which may impair the capacity of predatory arthropods to survive in urbanized habitats (REFS).</w:t>
      </w:r>
    </w:p>
    <w:p>
      <w:pPr>
        <w:pStyle w:val="BodyText"/>
      </w:pPr>
      <w:r>
        <w:t xml:space="preserve">Numerous studies have shown that varying diets can influence the physiology, behaviour, and fitness of wild predatory animals (REFS). Changes in species composition can alter the quantity of available prey for predatory arthropods, but also their quality, for example, via reduced nutritional components (REFS). The microbial communities inhabiting arthropods’ bodies provide numerous functions related to food consumption such as nutrient acquisition, food digestion, and food detoxification</w:t>
      </w:r>
      <w:r>
        <w:t xml:space="preserve"> </w:t>
      </w:r>
      <w:r>
        <w:t xml:space="preserve">(Brune and Ohkuma 2011, LeBlanc et al. 2013, Boone et al. 2013)</w:t>
      </w:r>
      <w:r>
        <w:t xml:space="preserve">. The microbiome of arthropods may thus play a key role for their survival and reproduction in a changing landscape. Recently, the role of diet has been highlighted as a critical factor mediating the structure of arthropod microbiome communities</w:t>
      </w:r>
      <w:r>
        <w:t xml:space="preserve"> </w:t>
      </w:r>
      <w:r>
        <w:t xml:space="preserve">(Kennedy et al. 2020)</w:t>
      </w:r>
      <w:r>
        <w:t xml:space="preserve">. Yet, we still have very limited knowledge on the ecological mechanisms driving arthropod microbiome diversity in the wild, such as habitat change and prey diet. Moreover, studies of microbiome diversity in arthropods have been mostly descriptive, and the ecological and evolutionary consequences of host-microbe interactions for arthropods are just beginning to be explored</w:t>
      </w:r>
      <w:r>
        <w:t xml:space="preserve"> </w:t>
      </w:r>
      <w:r>
        <w:t xml:space="preserve">(Engel and Moran 2013, Parks et al. 2017)</w:t>
      </w:r>
      <w:r>
        <w:t xml:space="preserve">. Accordingly, the composition of the microbial environment of arthropods could indicate adaptive responses to changes in habitat and prey diversity.</w:t>
      </w:r>
    </w:p>
    <w:p>
      <w:pPr>
        <w:pStyle w:val="BodyText"/>
      </w:pPr>
      <w:r>
        <w:t xml:space="preserve">In this study, we used the western black widow (</w:t>
      </w:r>
      <w:r>
        <w:rPr>
          <w:iCs/>
          <w:i/>
        </w:rPr>
        <w:t xml:space="preserve">Latrodectus hesperus</w:t>
      </w:r>
      <w:r>
        <w:t xml:space="preserve">), a sedentary predatory spider that uses its web as a hunting tool, to test the effect of urbanization and prey diet on their micriobiota composition. This predator can stay in one place for almost a year and feeds exclusively on local prey (REFS). While the western black widow is a facultative generalist, it has been shown to benefit from a diversity of prey to fulfill its nutritional requirements (REFS). A balanced diet of multiple prey types may be adaptive for spiders because polyphagy provides access to a variety of nutrients not available from a single prey source. This has been shown to maximize growth rate and survival of juveniles</w:t>
      </w:r>
      <w:r>
        <w:t xml:space="preserve"> </w:t>
      </w:r>
      <w:r>
        <w:t xml:space="preserve">(Uetz et al. 1992, Toft 1999)</w:t>
      </w:r>
      <w:r>
        <w:t xml:space="preserve">. However, a mixed diet may be limited by the availability of certain prey types in the habitat where black widows establish themselves. Western black widows can be found both in desertic and urban environments. They are therefore ideal study systems to quantify the consequences of urbanization via the study of their microbiota. They could potentially serve as bioindicators informing on the state of the surrounding ecological communities</w:t>
      </w:r>
      <w:r>
        <w:t xml:space="preserve"> </w:t>
      </w:r>
      <w:r>
        <w:t xml:space="preserve">(Hose et al. 2002, Gregorič et al. 2022, De et al. 2022)</w:t>
      </w:r>
      <w:r>
        <w:t xml:space="preserve">.</w:t>
      </w:r>
    </w:p>
    <w:p>
      <w:pPr>
        <w:pStyle w:val="BodyText"/>
      </w:pPr>
      <w:r>
        <w:t xml:space="preserve">Here, we combined field and laboratory experiments to evaluate the impacts of urbanization on microbiome communities and body condition of western black widows. In the field, we compared spiders collected from 4 different sites to measure the impacts of urbanization on microbiome diversity. Our objective is to characterize and compare the gut and web bacterial communities of western black widows according to their environment: desert (natural) versus urban. We hypothesize that the diversity and structure of the bacterial communities of the gut and webs will differ between spiders collected in desertic and urban habitats. Because prey diversity would likely be lower in urban environments</w:t>
      </w:r>
      <w:r>
        <w:t xml:space="preserve"> </w:t>
      </w:r>
      <w:r>
        <w:t xml:space="preserve">(Bosmans et al. 2018)</w:t>
      </w:r>
      <w:r>
        <w:t xml:space="preserve">, we predict that gut and web bacterial diversity will be higher for spiders collected in the desert. In a subsequent laboratory experiment, we studied the influence of a restricted diet on microbiome diversity. Our objective is to evaluate the effect of a restricted diet (i.e. crickets vs isopods) on the alpha and beta diversity of the western black widow’s gut microbiome. First, knowing there is a functional relationship between diet and gut microbiome, spiders that consumed a similar diet should have a homogeneous community. Second, the rate of variation in beta diversity should be explained by the spider’s diet. A diet composed of crickets should ellicit a greater abundance and diversity since crickets are omnivores with a high protein and fruit/vegetable diet</w:t>
      </w:r>
      <w:r>
        <w:t xml:space="preserve"> </w:t>
      </w:r>
      <w:r>
        <w:t xml:space="preserve">(Ng et al. 2018)</w:t>
      </w:r>
      <w:r>
        <w:t xml:space="preserve">. On the contrary, spiders restricted with an isopod diet should have a lower variety of microorganisms specific to the carrot-based diet that was provided to the isopods.</w:t>
      </w:r>
      <w:r>
        <w:t xml:space="preserve"> </w:t>
      </w:r>
      <w:r>
        <w:rPr>
          <w:iCs/>
          <w:i/>
        </w:rPr>
        <w:t xml:space="preserve">peut être expliquer le transfert trophique de bactéries pour supporter notre hypothèse. On peut citer Hélène Dionx Phénix ici</w:t>
      </w:r>
    </w:p>
    <w:p>
      <w:pPr>
        <w:pStyle w:val="BodyText"/>
      </w:pPr>
      <w:r>
        <w:t xml:space="preserve">The last objective would be to identify if there is a basal microbiome in the L. Herperus species.</w:t>
      </w:r>
      <w:r>
        <w:t xml:space="preserve"> </w:t>
      </w:r>
      <w:r>
        <w:t xml:space="preserve">One of the hypothesis would be that The permanent core microbiome should account for 30% of the species-specific microbial flora and thus be observed across groups leading to a stable and predictable microbial community (REFS). This should thus be resistant to the influence of diet on the community (Chu, Spencer, Curzi, Zavala, &amp; Seufferheld, 2013 ; Engel &amp; Moran, 2013 ; Reese &amp; Dunn, 2018 ; Ruokolainen , Ikonen, Makkonen, &amp; Hanski, 2016 ; Russell et al., 2009 ; Sanders et al., 2014 ).</w:t>
      </w:r>
    </w:p>
    <w:p>
      <w:r>
        <w:br w:type="page"/>
      </w:r>
    </w:p>
    <w:bookmarkEnd w:id="21"/>
    <w:bookmarkStart w:id="31" w:name="materials-and-methods"/>
    <w:p>
      <w:pPr>
        <w:pStyle w:val="Heading1"/>
      </w:pPr>
      <w:r>
        <w:t xml:space="preserve">Materials and methods</w:t>
      </w:r>
    </w:p>
    <w:bookmarkStart w:id="22" w:name="Xc45778671279bc981fd1921d5cb5624c0350ad6"/>
    <w:p>
      <w:pPr>
        <w:pStyle w:val="Heading2"/>
      </w:pPr>
      <w:r>
        <w:t xml:space="preserve">Study system : The western black widow spider (</w:t>
      </w:r>
      <w:r>
        <w:rPr>
          <w:iCs/>
          <w:i/>
        </w:rPr>
        <w:t xml:space="preserve">Latrodectus hesperus</w:t>
      </w:r>
      <w:r>
        <w:t xml:space="preserve">)</w:t>
      </w:r>
    </w:p>
    <w:p>
      <w:pPr>
        <w:pStyle w:val="FirstParagraph"/>
      </w:pPr>
      <w:r>
        <w:t xml:space="preserve">Western black widows (Latrodectus hesperus) will be used as a biological model to assess the impact of diets on the structure of their gut microbiome. L. hesperus occurs in cities and desert habitats from Mexico to western Canada. It is a polyphagous predatory species that feeds on a wide variety of prey.</w:t>
      </w:r>
      <w:r>
        <w:t xml:space="preserve"> </w:t>
      </w:r>
      <w:r>
        <w:t xml:space="preserve">They are considered generalist predators. Mature females are mostly solitary and sedentary. Indeed, it is a predatory arthropod that has a predation strategy based on the creation of a 3D web that is defined by a sit and wait mode. They would tend to stay on their web for a long time and feed locally on the prey that falls on their web (Dunaj, Bettencourt, Garb, et al. ,2020). The web would also be an interesting bio indicator that could inform on the nature of prey, predators and bacteria. Indeed, the web is a rich microbial environment that could provide information about the ecosystem and available prey.</w:t>
      </w:r>
    </w:p>
    <w:p>
      <w:pPr>
        <w:pStyle w:val="BodyText"/>
      </w:pPr>
      <w:r>
        <w:t xml:space="preserve">Predatory arthropods have a relatively simple gut and the diversity of their microbiome seems more likely to be affected by their diet. Black widow spiders (genus Latrodectus) are therefore a particularly suitable system to understand how microbes influence spider evolution The black widows used in the experiment come from a wild population collected and were reared and maintained in the laboratory under standardized conditions for a minimum of 3 years. The individuals were isolated and exposed to the same conditions of temperature (24°C ± 2°C), humidity (40% RH) and a day-night cycle of 12h-12h. Non-experimental individuals were fed twice a month with a live cricket.</w:t>
      </w:r>
    </w:p>
    <w:bookmarkEnd w:id="22"/>
    <w:bookmarkStart w:id="25" w:name="methods-for-the-field-study"/>
    <w:p>
      <w:pPr>
        <w:pStyle w:val="Heading2"/>
      </w:pPr>
      <w:r>
        <w:t xml:space="preserve">Methods for the field study</w:t>
      </w:r>
    </w:p>
    <w:bookmarkStart w:id="23" w:name="field-sites"/>
    <w:p>
      <w:pPr>
        <w:pStyle w:val="Heading3"/>
      </w:pPr>
      <w:r>
        <w:t xml:space="preserve">Field sites</w:t>
      </w:r>
    </w:p>
    <w:p>
      <w:pPr>
        <w:pStyle w:val="FirstParagraph"/>
      </w:pPr>
      <w:r>
        <w:rPr>
          <w:iCs/>
          <w:i/>
        </w:rPr>
        <w:t xml:space="preserve">Here, we need to describe the field conditions, temperature, precipitation, land cover, blablabla. Also provide a map of the field sites</w:t>
      </w:r>
    </w:p>
    <w:p>
      <w:pPr>
        <w:pStyle w:val="BodyText"/>
      </w:pPr>
      <w:r>
        <w:t xml:space="preserve">vicinity of and outside the city of Tucson, Arizona (USA). These specimens were distributed among 4 different sites, including 2 desert wilderness sites (Chaos Canyon (CC) and Dove Mountain (DM)) and 2 urban sites (University of Arizona Campus (UA) and a Lowe’s (LO) parking lot).</w:t>
      </w:r>
    </w:p>
    <w:bookmarkEnd w:id="23"/>
    <w:bookmarkStart w:id="24" w:name="field-data-collection"/>
    <w:p>
      <w:pPr>
        <w:pStyle w:val="Heading3"/>
      </w:pPr>
      <w:r>
        <w:t xml:space="preserve">Field data collection</w:t>
      </w:r>
    </w:p>
    <w:p>
      <w:pPr>
        <w:pStyle w:val="FirstParagraph"/>
      </w:pPr>
      <w:r>
        <w:t xml:space="preserve">During the spring of 2020, 14 black widow specimens were captured in the field sites described above.</w:t>
      </w:r>
      <w:r>
        <w:t xml:space="preserve"> </w:t>
      </w:r>
      <w:r>
        <w:rPr>
          <w:iCs/>
          <w:i/>
        </w:rPr>
        <w:t xml:space="preserve">say how many spiders where</w:t>
      </w:r>
      <w:r>
        <w:t xml:space="preserve">. The web of each spider was also collected under relatively sterile conditions (latex gloves and alcohol) with a Falcon tube and a disinfected metal rod. The 14 individuals and their respective webs were identified and transported alive to be stored at -20° Celsius. The samples were then placed in a cooler with dry ice and sent by mail to the laboratory facilities at</w:t>
      </w:r>
      <w:r>
        <w:t xml:space="preserve"> </w:t>
      </w:r>
      <w:r>
        <w:rPr>
          <w:iCs/>
          <w:i/>
        </w:rPr>
        <w:t xml:space="preserve">UQAM</w:t>
      </w:r>
      <w:r>
        <w:t xml:space="preserve">. The samples were placed on ice at irregular intervals, though uniformly for each sampling location, during initial storage, transportation, and final storage at UQAM facilities.</w:t>
      </w:r>
    </w:p>
    <w:bookmarkEnd w:id="24"/>
    <w:bookmarkEnd w:id="25"/>
    <w:bookmarkStart w:id="27" w:name="methods-for-the-diet-experiment"/>
    <w:p>
      <w:pPr>
        <w:pStyle w:val="Heading2"/>
      </w:pPr>
      <w:r>
        <w:t xml:space="preserve">Methods for the diet experiment</w:t>
      </w:r>
    </w:p>
    <w:bookmarkStart w:id="26" w:name="feeding-bioassay"/>
    <w:p>
      <w:pPr>
        <w:pStyle w:val="Heading3"/>
      </w:pPr>
      <w:r>
        <w:t xml:space="preserve">Feeding bioassay</w:t>
      </w:r>
    </w:p>
    <w:p>
      <w:pPr>
        <w:pStyle w:val="FirstParagraph"/>
      </w:pPr>
      <w:r>
        <w:t xml:space="preserve">In a laboratory feeding experiment, we tested whether a single meal has the potential to alter the gut bacterial community of black widows. The sample size of the experiment consisted of 12 black widows. Each spider was randomly assigned to one of the following treatments: (1) no food (control, N = 4), (2) a meal consisting of</w:t>
      </w:r>
      <w:r>
        <w:t xml:space="preserve"> </w:t>
      </w:r>
      <w:r>
        <w:rPr>
          <w:iCs/>
          <w:i/>
        </w:rPr>
        <w:t xml:space="preserve">Gryllodes sigillatus</w:t>
      </w:r>
      <w:r>
        <w:t xml:space="preserve"> </w:t>
      </w:r>
      <w:r>
        <w:t xml:space="preserve">(cricket diet, N = 4) exclusively, and (3) a meal consisting of</w:t>
      </w:r>
      <w:r>
        <w:t xml:space="preserve"> </w:t>
      </w:r>
      <w:r>
        <w:rPr>
          <w:iCs/>
          <w:i/>
        </w:rPr>
        <w:t xml:space="preserve">Porcellionides pruinosus</w:t>
      </w:r>
      <w:r>
        <w:t xml:space="preserve"> </w:t>
      </w:r>
      <w:r>
        <w:t xml:space="preserve">(isopod diet, N = 4) exclusively. Crickets and isopods are within the range of potential natural prey of black widows. It has been demonstrated that isopods are present in cities (</w:t>
      </w:r>
      <w:r>
        <w:rPr>
          <w:iCs/>
          <w:i/>
        </w:rPr>
        <w:t xml:space="preserve">sources?</w:t>
      </w:r>
      <w:r>
        <w:t xml:space="preserve">). Isopods are nutrient-poor and contain low protein. They are however very rich in several minerals including calcium. In contrast, crickets are one of the common preys of laboratory-reared spiders. They consist of a lipid and protein-rich food that is beneficial to spiders, and they generally have a low calcium/phosphorus ratio (</w:t>
      </w:r>
      <w:r>
        <w:rPr>
          <w:iCs/>
          <w:i/>
        </w:rPr>
        <w:t xml:space="preserve">source</w:t>
      </w:r>
      <w:r>
        <w:t xml:space="preserve">).</w:t>
      </w:r>
    </w:p>
    <w:p>
      <w:pPr>
        <w:pStyle w:val="BodyText"/>
      </w:pPr>
      <w:r>
        <w:t xml:space="preserve">Both prey were raised in a controlled and ethical farm located on the south shore of Montreal, Quebec, Canada (</w:t>
      </w:r>
      <w:r>
        <w:rPr>
          <w:iCs/>
          <w:i/>
        </w:rPr>
        <w:t xml:space="preserve">which farm</w:t>
      </w:r>
      <w:r>
        <w:t xml:space="preserve">). The crickets were housed in ventilated containers maintained at room temperature. They are fed regularly with an assortment of vegetables, pet food, and plants. Isopods were kept in their container in a humid culture environment at room temperature. They were fed with carrots and vegetables about twice a week.</w:t>
      </w:r>
    </w:p>
    <w:p>
      <w:pPr>
        <w:pStyle w:val="BodyText"/>
      </w:pPr>
      <w:r>
        <w:t xml:space="preserve">We first transferred each individual spider into a cardboard support where they built their web for 5 days. Following this period, the black widows were assigned to one of the three feeding groups. We then provided prey weekly to maintain spiders at their satiation level. We maintained the spiders’ diets for a period of 6 weeks. In the control group, the spiders were not fed for 6 weeks.</w:t>
      </w:r>
    </w:p>
    <w:p>
      <w:pPr>
        <w:pStyle w:val="BodyText"/>
      </w:pPr>
      <w:r>
        <w:rPr>
          <w:iCs/>
          <w:i/>
        </w:rPr>
        <w:t xml:space="preserve">ne pas oublier de dire qu’on les a pesé</w:t>
      </w:r>
    </w:p>
    <w:bookmarkEnd w:id="26"/>
    <w:bookmarkEnd w:id="27"/>
    <w:bookmarkStart w:id="28" w:name="dna-extraction-and-illumina-sequencing"/>
    <w:p>
      <w:pPr>
        <w:pStyle w:val="Heading2"/>
      </w:pPr>
      <w:r>
        <w:t xml:space="preserve">DNA extraction and illumina sequencing</w:t>
      </w:r>
    </w:p>
    <w:p>
      <w:pPr>
        <w:pStyle w:val="FirstParagraph"/>
      </w:pPr>
      <w:r>
        <w:t xml:space="preserve">The analysis of intestinal bacteria was performed on dissected digestive tracts and the lipid profile. Each spider was transferred to a plastic jar with a lid to be anesthetized by introducing CO2 for 2 to 5 minutes than by freezing in a -20°C freezer. The samples were then rinsed in three steps. I performed an initial rinse with sterile pure water for 1 minute, followed by a second rinse with 70% ethanol for 5 minutes, and then a series of three more rinses times with sterile pure water. The hindgut of each individual was dissected in 0.1 M Sodium Chloride, 0.015 M Sodium Citrate, 0.1% Diethyl Pyrocarbonate sterile solution with sterile forceps under a binocular loupe, placed in 1.5 ml microcentrifuge tubes, washed three times with sterile water. All manipulations were performed under flame and the equipment sterilized at each use. Spiders being sacrificed, then stored at -20°C until DNA was extracted. the dissection was done in the same day of their euthanasia.</w:t>
      </w:r>
    </w:p>
    <w:p>
      <w:pPr>
        <w:pStyle w:val="BodyText"/>
      </w:pPr>
      <w:r>
        <w:t xml:space="preserve">An external sterilization of the cuticle was performed before the bacterial DNA extractions for each spider to avoid any contamination to the internal microbiota. The specimens were first placed in a Falcon tube containing ultrapure water and then subjected to the sonicator for 60 sec. They were then immersed in 95% ethanol and vortexed 30 sec. The same step follows with 75% ethanol. Afterwards, the spiders are placed in a sterile mortar, then crushed to extract the inner liquids with a filter pipette and added to the solution C1 of the DNeasy® PowerSoil® kit (QIAGEN), which will be used for all DNA extractions.</w:t>
      </w:r>
    </w:p>
    <w:p>
      <w:pPr>
        <w:pStyle w:val="BodyText"/>
      </w:pPr>
      <w:r>
        <w:t xml:space="preserve">It is therefore the complete internal environment (fatty masses, cephalothorax, intestinal tract, ovaries, legs, etc. except for the cuticles) which is evaluated for its microbiota of spider on the field. The respective webs were first dissected and cut under the hood or Bunsen flame with knives with sterile knives and tweezers and then incorporated into solution C1 of the DNeasy® PowerSoil® kit (QIAGEN) in order to analyze their surfaces for bacteria. For spiders used in the feeding bioessay, after 6 weeks of a strict diet, 4 individuals per group were sacrificed in order to collect the digestive tract and the lipidic profile to extract the microbial DNA. The dissections were performed 72h after their last meal. Each spider was sterilized and then dissected under a binocular light microscope before used the DNeasy® PowerSoil® kit (QIAGEN). A PCR was performed with the bacterial DNA extracted with the PCR Master Mix (QIAGEN) as well as the buffer and amplifying solution from Invitrogen company.</w:t>
      </w:r>
    </w:p>
    <w:p>
      <w:pPr>
        <w:pStyle w:val="BodyText"/>
      </w:pPr>
      <w:r>
        <w:t xml:space="preserve">À VALIDER</w:t>
      </w:r>
      <w:r>
        <w:t xml:space="preserve"> </w:t>
      </w:r>
      <w:r>
        <w:t xml:space="preserve">Bactérie Tm = 57°C Eucaryotes Tm = 61°C</w:t>
      </w:r>
      <w:r>
        <w:t xml:space="preserve"> </w:t>
      </w:r>
      <w:r>
        <w:t xml:space="preserve">Bacteria with 5uL DNA and Eucaryote 2uL DNA</w:t>
      </w:r>
      <w:r>
        <w:t xml:space="preserve"> </w:t>
      </w:r>
      <w:r>
        <w:t xml:space="preserve">Polymerase : Phusion Hot Start II High-Fidelity</w:t>
      </w:r>
    </w:p>
    <w:p>
      <w:pPr>
        <w:pStyle w:val="BodyText"/>
      </w:pPr>
      <w:r>
        <w:t xml:space="preserve">À ajouter :</w:t>
      </w:r>
      <w:r>
        <w:t xml:space="preserve"> </w:t>
      </w:r>
      <w:r>
        <w:t xml:space="preserve">- Gène 16S et du 18S pour les eukaryotes</w:t>
      </w:r>
      <w:r>
        <w:t xml:space="preserve"> </w:t>
      </w:r>
      <w:r>
        <w:t xml:space="preserve">- Quelles régions de ces gènes</w:t>
      </w:r>
      <w:r>
        <w:t xml:space="preserve"> </w:t>
      </w:r>
      <w:r>
        <w:t xml:space="preserve">- Primers</w:t>
      </w:r>
      <w:r>
        <w:t xml:space="preserve"> </w:t>
      </w:r>
      <w:r>
        <w:t xml:space="preserve">- Plateforme d’analyse (CERMO-FC, UQAM)</w:t>
      </w:r>
      <w:r>
        <w:t xml:space="preserve"> </w:t>
      </w:r>
      <w:r>
        <w:t xml:space="preserve">- Negative controls</w:t>
      </w:r>
    </w:p>
    <w:bookmarkEnd w:id="28"/>
    <w:bookmarkStart w:id="29" w:name="s-rrna-gene-sequence-processing"/>
    <w:p>
      <w:pPr>
        <w:pStyle w:val="Heading2"/>
      </w:pPr>
      <w:r>
        <w:t xml:space="preserve">16S rRNA gene sequence processing</w:t>
      </w:r>
    </w:p>
    <w:p>
      <w:pPr>
        <w:pStyle w:val="FirstParagraph"/>
      </w:pPr>
      <w:r>
        <w:t xml:space="preserve">List of things to say:</w:t>
      </w:r>
      <w:r>
        <w:t xml:space="preserve"> </w:t>
      </w:r>
      <w:r>
        <w:t xml:space="preserve">- dada2</w:t>
      </w:r>
      <w:r>
        <w:t xml:space="preserve"> </w:t>
      </w:r>
      <w:r>
        <w:t xml:space="preserve">- packages and versions</w:t>
      </w:r>
      <w:r>
        <w:t xml:space="preserve"> </w:t>
      </w:r>
      <w:r>
        <w:t xml:space="preserve">- reference databases</w:t>
      </w:r>
      <w:r>
        <w:t xml:space="preserve"> </w:t>
      </w:r>
      <w:r>
        <w:t xml:space="preserve">- rarefaction for webs</w:t>
      </w:r>
    </w:p>
    <w:bookmarkEnd w:id="29"/>
    <w:bookmarkStart w:id="30" w:name="statistical-analyses"/>
    <w:p>
      <w:pPr>
        <w:pStyle w:val="Heading2"/>
      </w:pPr>
      <w:r>
        <w:t xml:space="preserve">Statistical analyses</w:t>
      </w:r>
    </w:p>
    <w:p>
      <w:pPr>
        <w:pStyle w:val="FirstParagraph"/>
      </w:pPr>
      <w:r>
        <w:t xml:space="preserve">Process :</w:t>
      </w:r>
      <w:r>
        <w:t xml:space="preserve"> </w:t>
      </w:r>
      <w:r>
        <w:t xml:space="preserve">- compare species richness between env</w:t>
      </w:r>
      <w:r>
        <w:t xml:space="preserve"> </w:t>
      </w:r>
      <w:r>
        <w:t xml:space="preserve">- compare species richness between diets</w:t>
      </w:r>
    </w:p>
    <w:p>
      <w:pPr>
        <w:numPr>
          <w:ilvl w:val="0"/>
          <w:numId w:val="1001"/>
        </w:numPr>
      </w:pPr>
      <w:r>
        <w:t xml:space="preserve">compare beta diversity using copula models for spiders</w:t>
      </w:r>
    </w:p>
    <w:p>
      <w:pPr>
        <w:numPr>
          <w:ilvl w:val="0"/>
          <w:numId w:val="1001"/>
        </w:numPr>
      </w:pPr>
      <w:r>
        <w:t xml:space="preserve">compare beta diversity using NMDS for webs</w:t>
      </w:r>
    </w:p>
    <w:p>
      <w:pPr>
        <w:numPr>
          <w:ilvl w:val="0"/>
          <w:numId w:val="1001"/>
        </w:numPr>
      </w:pPr>
      <w:r>
        <w:t xml:space="preserve">Compare the taxa with barplots?</w:t>
      </w:r>
    </w:p>
    <w:p>
      <w:r>
        <w:br w:type="page"/>
      </w:r>
    </w:p>
    <w:bookmarkEnd w:id="30"/>
    <w:bookmarkEnd w:id="31"/>
    <w:bookmarkStart w:id="32" w:name="results"/>
    <w:p>
      <w:pPr>
        <w:pStyle w:val="Heading1"/>
      </w:pPr>
      <w:r>
        <w:t xml:space="preserve">Results</w:t>
      </w:r>
    </w:p>
    <w:p>
      <w:r>
        <w:br w:type="page"/>
      </w:r>
    </w:p>
    <w:bookmarkEnd w:id="32"/>
    <w:bookmarkStart w:id="33" w:name="discussion"/>
    <w:p>
      <w:pPr>
        <w:pStyle w:val="Heading1"/>
      </w:pPr>
      <w:r>
        <w:t xml:space="preserve">Discussion</w:t>
      </w:r>
    </w:p>
    <w:p>
      <w:pPr>
        <w:pStyle w:val="FirstParagraph"/>
      </w:pPr>
      <w:r>
        <w:rPr>
          <w:iCs/>
          <w:i/>
        </w:rPr>
        <w:t xml:space="preserve">Our study provides a better understanding of the impacts of urbanization on the microbial ecology of L. hesperus in Arizona. It will also help determine how prey encountered by black widows shape the structure of their microbiome.</w:t>
      </w:r>
    </w:p>
    <w:p>
      <w:r>
        <w:br w:type="page"/>
      </w:r>
    </w:p>
    <w:bookmarkEnd w:id="33"/>
    <w:bookmarkStart w:id="67" w:name="references"/>
    <w:p>
      <w:pPr>
        <w:pStyle w:val="Heading1"/>
      </w:pPr>
      <w:r>
        <w:t xml:space="preserve">References</w:t>
      </w:r>
    </w:p>
    <w:bookmarkStart w:id="66" w:name="refs"/>
    <w:bookmarkStart w:id="35" w:name="ref-Boone.etal2013"/>
    <w:p>
      <w:pPr>
        <w:pStyle w:val="Bibliography"/>
      </w:pPr>
      <w:r>
        <w:t xml:space="preserve">Boone, C. K. et al. 2013.</w:t>
      </w:r>
      <w:r>
        <w:t xml:space="preserve"> </w:t>
      </w:r>
      <w:hyperlink r:id="rId34">
        <w:r>
          <w:rPr>
            <w:rStyle w:val="Hyperlink"/>
          </w:rPr>
          <w:t xml:space="preserve">Bacteria</w:t>
        </w:r>
        <w:r>
          <w:rPr>
            <w:rStyle w:val="Hyperlink"/>
          </w:rPr>
          <w:t xml:space="preserve"> </w:t>
        </w:r>
        <w:r>
          <w:rPr>
            <w:rStyle w:val="Hyperlink"/>
          </w:rPr>
          <w:t xml:space="preserve">Associated</w:t>
        </w:r>
        <w:r>
          <w:rPr>
            <w:rStyle w:val="Hyperlink"/>
          </w:rPr>
          <w:t xml:space="preserve"> </w:t>
        </w:r>
        <w:r>
          <w:rPr>
            <w:rStyle w:val="Hyperlink"/>
          </w:rPr>
          <w:t xml:space="preserve">with a</w:t>
        </w:r>
        <w:r>
          <w:rPr>
            <w:rStyle w:val="Hyperlink"/>
          </w:rPr>
          <w:t xml:space="preserve"> </w:t>
        </w:r>
        <w:r>
          <w:rPr>
            <w:rStyle w:val="Hyperlink"/>
          </w:rPr>
          <w:t xml:space="preserve">Tree-Killing Insect Reduce Concentrations</w:t>
        </w:r>
        <w:r>
          <w:rPr>
            <w:rStyle w:val="Hyperlink"/>
          </w:rPr>
          <w:t xml:space="preserve"> </w:t>
        </w:r>
        <w:r>
          <w:rPr>
            <w:rStyle w:val="Hyperlink"/>
          </w:rPr>
          <w:t xml:space="preserve">of</w:t>
        </w:r>
        <w:r>
          <w:rPr>
            <w:rStyle w:val="Hyperlink"/>
          </w:rPr>
          <w:t xml:space="preserve"> </w:t>
        </w:r>
        <w:r>
          <w:rPr>
            <w:rStyle w:val="Hyperlink"/>
          </w:rPr>
          <w:t xml:space="preserve">Plant Defense Compounds</w:t>
        </w:r>
      </w:hyperlink>
      <w:r>
        <w:t xml:space="preserve">. - Journal of Chemical Ecology 39: 1003–1006.</w:t>
      </w:r>
    </w:p>
    <w:bookmarkEnd w:id="35"/>
    <w:bookmarkStart w:id="37" w:name="ref-Bosmans.etal2018"/>
    <w:p>
      <w:pPr>
        <w:pStyle w:val="Bibliography"/>
      </w:pPr>
      <w:r>
        <w:t xml:space="preserve">Bosmans, L. et al. 2018.</w:t>
      </w:r>
      <w:r>
        <w:t xml:space="preserve"> </w:t>
      </w:r>
      <w:hyperlink r:id="rId36">
        <w:r>
          <w:rPr>
            <w:rStyle w:val="Hyperlink"/>
          </w:rPr>
          <w:t xml:space="preserve">Habitat-specific variation in gut microbial communities and pathogen prevalence in bumblebee queens (</w:t>
        </w:r>
        <w:r>
          <w:rPr>
            <w:rStyle w:val="Hyperlink"/>
          </w:rPr>
          <w:t xml:space="preserve">Bombus</w:t>
        </w:r>
        <w:r>
          <w:rPr>
            <w:rStyle w:val="Hyperlink"/>
          </w:rPr>
          <w:t xml:space="preserve"> </w:t>
        </w:r>
        <w:r>
          <w:rPr>
            <w:rStyle w:val="Hyperlink"/>
          </w:rPr>
          <w:t xml:space="preserve">terrestris)</w:t>
        </w:r>
      </w:hyperlink>
      <w:r>
        <w:t xml:space="preserve">. - PLOS ONE 13: e0204612.</w:t>
      </w:r>
    </w:p>
    <w:bookmarkEnd w:id="37"/>
    <w:bookmarkStart w:id="39" w:name="ref-Brune.Ohkuma2011"/>
    <w:p>
      <w:pPr>
        <w:pStyle w:val="Bibliography"/>
      </w:pPr>
      <w:r>
        <w:t xml:space="preserve">Brune, A. and Ohkuma, M. 2011.</w:t>
      </w:r>
      <w:r>
        <w:t xml:space="preserve"> </w:t>
      </w:r>
      <w:hyperlink r:id="rId38">
        <w:r>
          <w:rPr>
            <w:rStyle w:val="Hyperlink"/>
          </w:rPr>
          <w:t xml:space="preserve">Role of the</w:t>
        </w:r>
        <w:r>
          <w:rPr>
            <w:rStyle w:val="Hyperlink"/>
          </w:rPr>
          <w:t xml:space="preserve"> </w:t>
        </w:r>
        <w:r>
          <w:rPr>
            <w:rStyle w:val="Hyperlink"/>
          </w:rPr>
          <w:t xml:space="preserve">Termite Gut Microbiota</w:t>
        </w:r>
        <w:r>
          <w:rPr>
            <w:rStyle w:val="Hyperlink"/>
          </w:rPr>
          <w:t xml:space="preserve"> </w:t>
        </w:r>
        <w:r>
          <w:rPr>
            <w:rStyle w:val="Hyperlink"/>
          </w:rPr>
          <w:t xml:space="preserve">in</w:t>
        </w:r>
        <w:r>
          <w:rPr>
            <w:rStyle w:val="Hyperlink"/>
          </w:rPr>
          <w:t xml:space="preserve"> </w:t>
        </w:r>
        <w:r>
          <w:rPr>
            <w:rStyle w:val="Hyperlink"/>
          </w:rPr>
          <w:t xml:space="preserve">Symbiotic Digestion</w:t>
        </w:r>
      </w:hyperlink>
      <w:r>
        <w:t xml:space="preserve">. - In: Bignell, D. E. et al. (eds), Biology of</w:t>
      </w:r>
      <w:r>
        <w:t xml:space="preserve"> </w:t>
      </w:r>
      <w:r>
        <w:t xml:space="preserve">Termites</w:t>
      </w:r>
      <w:r>
        <w:t xml:space="preserve">: A</w:t>
      </w:r>
      <w:r>
        <w:t xml:space="preserve"> </w:t>
      </w:r>
      <w:r>
        <w:t xml:space="preserve">Modern Synthesis</w:t>
      </w:r>
      <w:r>
        <w:t xml:space="preserve">.</w:t>
      </w:r>
      <w:r>
        <w:t xml:space="preserve"> </w:t>
      </w:r>
      <w:r>
        <w:t xml:space="preserve">Springer Netherlands</w:t>
      </w:r>
      <w:r>
        <w:t xml:space="preserve">, pp. 439–475.</w:t>
      </w:r>
    </w:p>
    <w:bookmarkEnd w:id="39"/>
    <w:bookmarkStart w:id="41" w:name="ref-De.etal2022"/>
    <w:p>
      <w:pPr>
        <w:pStyle w:val="Bibliography"/>
      </w:pPr>
      <w:r>
        <w:t xml:space="preserve">De, K. et al. 2022.</w:t>
      </w:r>
      <w:r>
        <w:t xml:space="preserve"> </w:t>
      </w:r>
      <w:hyperlink r:id="rId40">
        <w:r>
          <w:rPr>
            <w:rStyle w:val="Hyperlink"/>
          </w:rPr>
          <w:t xml:space="preserve">Spiders as bio-indicators of habitat disturbance in the riparian zone of the</w:t>
        </w:r>
        <w:r>
          <w:rPr>
            <w:rStyle w:val="Hyperlink"/>
          </w:rPr>
          <w:t xml:space="preserve"> </w:t>
        </w:r>
        <w:r>
          <w:rPr>
            <w:rStyle w:val="Hyperlink"/>
          </w:rPr>
          <w:t xml:space="preserve">Ganga</w:t>
        </w:r>
        <w:r>
          <w:rPr>
            <w:rStyle w:val="Hyperlink"/>
          </w:rPr>
          <w:t xml:space="preserve"> </w:t>
        </w:r>
        <w:r>
          <w:rPr>
            <w:rStyle w:val="Hyperlink"/>
          </w:rPr>
          <w:t xml:space="preserve">river: A preliminary study</w:t>
        </w:r>
      </w:hyperlink>
      <w:r>
        <w:t xml:space="preserve">. - Trop Ecol 63: 209–215.</w:t>
      </w:r>
    </w:p>
    <w:bookmarkEnd w:id="41"/>
    <w:bookmarkStart w:id="43" w:name="ref-Engel.Moran2013"/>
    <w:p>
      <w:pPr>
        <w:pStyle w:val="Bibliography"/>
      </w:pPr>
      <w:r>
        <w:t xml:space="preserve">Engel, P. and Moran, N. A. 2013.</w:t>
      </w:r>
      <w:r>
        <w:t xml:space="preserve"> </w:t>
      </w:r>
      <w:hyperlink r:id="rId42">
        <w:r>
          <w:rPr>
            <w:rStyle w:val="Hyperlink"/>
          </w:rPr>
          <w:t xml:space="preserve">The gut microbiota of insects</w:t>
        </w:r>
        <w:r>
          <w:rPr>
            <w:rStyle w:val="Hyperlink"/>
          </w:rPr>
          <w:t xml:space="preserve"> </w:t>
        </w:r>
        <w:r>
          <w:rPr>
            <w:rStyle w:val="Hyperlink"/>
          </w:rPr>
          <w:t xml:space="preserve"> </w:t>
        </w:r>
        <w:r>
          <w:rPr>
            <w:rStyle w:val="Hyperlink"/>
          </w:rPr>
          <w:t xml:space="preserve">diversity in structure and function</w:t>
        </w:r>
      </w:hyperlink>
      <w:r>
        <w:t xml:space="preserve">. - FEMS Microbiology Reviews 37: 699–735.</w:t>
      </w:r>
    </w:p>
    <w:bookmarkEnd w:id="43"/>
    <w:bookmarkStart w:id="45" w:name="ref-Giribet.Edgecombe2010"/>
    <w:p>
      <w:pPr>
        <w:pStyle w:val="Bibliography"/>
      </w:pPr>
      <w:r>
        <w:t xml:space="preserve">Giribet, G. and Edgecombe, G. 2010.</w:t>
      </w:r>
      <w:r>
        <w:t xml:space="preserve"> </w:t>
      </w:r>
      <w:hyperlink r:id="rId44">
        <w:r>
          <w:rPr>
            <w:rStyle w:val="Hyperlink"/>
          </w:rPr>
          <w:t xml:space="preserve">Reevaluating the</w:t>
        </w:r>
        <w:r>
          <w:rPr>
            <w:rStyle w:val="Hyperlink"/>
          </w:rPr>
          <w:t xml:space="preserve"> </w:t>
        </w:r>
        <w:r>
          <w:rPr>
            <w:rStyle w:val="Hyperlink"/>
          </w:rPr>
          <w:t xml:space="preserve">Arthropod Tree</w:t>
        </w:r>
        <w:r>
          <w:rPr>
            <w:rStyle w:val="Hyperlink"/>
          </w:rPr>
          <w:t xml:space="preserve"> </w:t>
        </w:r>
        <w:r>
          <w:rPr>
            <w:rStyle w:val="Hyperlink"/>
          </w:rPr>
          <w:t xml:space="preserve">of</w:t>
        </w:r>
        <w:r>
          <w:rPr>
            <w:rStyle w:val="Hyperlink"/>
          </w:rPr>
          <w:t xml:space="preserve"> </w:t>
        </w:r>
        <w:r>
          <w:rPr>
            <w:rStyle w:val="Hyperlink"/>
          </w:rPr>
          <w:t xml:space="preserve">Life</w:t>
        </w:r>
      </w:hyperlink>
      <w:r>
        <w:t xml:space="preserve">. - Annual review of entomology 57: 167–86.</w:t>
      </w:r>
    </w:p>
    <w:bookmarkEnd w:id="45"/>
    <w:bookmarkStart w:id="47" w:name="ref-Gregoric.etal2022"/>
    <w:p>
      <w:pPr>
        <w:pStyle w:val="Bibliography"/>
      </w:pPr>
      <w:r>
        <w:t xml:space="preserve">Gregorič, M. et al. 2022.</w:t>
      </w:r>
      <w:r>
        <w:t xml:space="preserve"> </w:t>
      </w:r>
      <w:hyperlink r:id="rId46">
        <w:r>
          <w:rPr>
            <w:rStyle w:val="Hyperlink"/>
          </w:rPr>
          <w:t xml:space="preserve">Spider webs as</w:t>
        </w:r>
        <w:r>
          <w:rPr>
            <w:rStyle w:val="Hyperlink"/>
          </w:rPr>
          <w:t xml:space="preserve"> </w:t>
        </w:r>
        <w:r>
          <w:rPr>
            <w:rStyle w:val="Hyperlink"/>
          </w:rPr>
          <w:t xml:space="preserve">eDNA</w:t>
        </w:r>
        <w:r>
          <w:rPr>
            <w:rStyle w:val="Hyperlink"/>
          </w:rPr>
          <w:t xml:space="preserve"> </w:t>
        </w:r>
        <w:r>
          <w:rPr>
            <w:rStyle w:val="Hyperlink"/>
          </w:rPr>
          <w:t xml:space="preserve">samplers:</w:t>
        </w:r>
        <w:r>
          <w:rPr>
            <w:rStyle w:val="Hyperlink"/>
          </w:rPr>
          <w:t xml:space="preserve"> </w:t>
        </w:r>
        <w:r>
          <w:rPr>
            <w:rStyle w:val="Hyperlink"/>
          </w:rPr>
          <w:t xml:space="preserve">Biodiversity</w:t>
        </w:r>
        <w:r>
          <w:rPr>
            <w:rStyle w:val="Hyperlink"/>
          </w:rPr>
          <w:t xml:space="preserve"> </w:t>
        </w:r>
        <w:r>
          <w:rPr>
            <w:rStyle w:val="Hyperlink"/>
          </w:rPr>
          <w:t xml:space="preserve">assessment across the tree of life</w:t>
        </w:r>
      </w:hyperlink>
      <w:r>
        <w:t xml:space="preserve">. - Mol. Ecol. Resour. in press.</w:t>
      </w:r>
    </w:p>
    <w:bookmarkEnd w:id="47"/>
    <w:bookmarkStart w:id="49" w:name="ref-Hallmann.etal2017"/>
    <w:p>
      <w:pPr>
        <w:pStyle w:val="Bibliography"/>
      </w:pPr>
      <w:r>
        <w:t xml:space="preserve">Hallmann, C. A. et al. 2017.</w:t>
      </w:r>
      <w:r>
        <w:t xml:space="preserve"> </w:t>
      </w:r>
      <w:hyperlink r:id="rId48">
        <w:r>
          <w:rPr>
            <w:rStyle w:val="Hyperlink"/>
          </w:rPr>
          <w:t xml:space="preserve">More than 75 percent decline over 27 years in total flying insect biomass in protected areas</w:t>
        </w:r>
      </w:hyperlink>
      <w:r>
        <w:t xml:space="preserve">. - PLOS ONE 12: e0185809.</w:t>
      </w:r>
    </w:p>
    <w:bookmarkEnd w:id="49"/>
    <w:bookmarkStart w:id="51" w:name="ref-Hose.etal2002"/>
    <w:p>
      <w:pPr>
        <w:pStyle w:val="Bibliography"/>
      </w:pPr>
      <w:r>
        <w:t xml:space="preserve">Hose, G. C. et al. 2002.</w:t>
      </w:r>
      <w:r>
        <w:t xml:space="preserve"> </w:t>
      </w:r>
      <w:hyperlink r:id="rId50">
        <w:r>
          <w:rPr>
            <w:rStyle w:val="Hyperlink"/>
          </w:rPr>
          <w:t xml:space="preserve">Spider webs as environmental indicators</w:t>
        </w:r>
      </w:hyperlink>
      <w:r>
        <w:t xml:space="preserve">. - Environmental Pollution 120: 725–733.</w:t>
      </w:r>
    </w:p>
    <w:bookmarkEnd w:id="51"/>
    <w:bookmarkStart w:id="53" w:name="ref-Kennedy.etal2020"/>
    <w:p>
      <w:pPr>
        <w:pStyle w:val="Bibliography"/>
      </w:pPr>
      <w:r>
        <w:t xml:space="preserve">Kennedy, S. R. et al. 2020.</w:t>
      </w:r>
      <w:r>
        <w:t xml:space="preserve"> </w:t>
      </w:r>
      <w:hyperlink r:id="rId52">
        <w:r>
          <w:rPr>
            <w:rStyle w:val="Hyperlink"/>
          </w:rPr>
          <w:t xml:space="preserve">Are you what you eat?</w:t>
        </w:r>
        <w:r>
          <w:rPr>
            <w:rStyle w:val="Hyperlink"/>
          </w:rPr>
          <w:t xml:space="preserve"> </w:t>
        </w:r>
        <w:r>
          <w:rPr>
            <w:rStyle w:val="Hyperlink"/>
          </w:rPr>
          <w:t xml:space="preserve">A</w:t>
        </w:r>
        <w:r>
          <w:rPr>
            <w:rStyle w:val="Hyperlink"/>
          </w:rPr>
          <w:t xml:space="preserve"> </w:t>
        </w:r>
        <w:r>
          <w:rPr>
            <w:rStyle w:val="Hyperlink"/>
          </w:rPr>
          <w:t xml:space="preserve">highly transient and prey-influenced gut microbiome in the grey house spider</w:t>
        </w:r>
        <w:r>
          <w:rPr>
            <w:rStyle w:val="Hyperlink"/>
          </w:rPr>
          <w:t xml:space="preserve"> </w:t>
        </w:r>
        <w:r>
          <w:rPr>
            <w:rStyle w:val="Hyperlink"/>
          </w:rPr>
          <w:t xml:space="preserve">Badumna</w:t>
        </w:r>
        <w:r>
          <w:rPr>
            <w:rStyle w:val="Hyperlink"/>
          </w:rPr>
          <w:t xml:space="preserve"> </w:t>
        </w:r>
        <w:r>
          <w:rPr>
            <w:rStyle w:val="Hyperlink"/>
          </w:rPr>
          <w:t xml:space="preserve">longinqua</w:t>
        </w:r>
      </w:hyperlink>
      <w:r>
        <w:t xml:space="preserve">. - Mol. Ecol. 29: 1001–1015.</w:t>
      </w:r>
    </w:p>
    <w:bookmarkEnd w:id="53"/>
    <w:bookmarkStart w:id="55" w:name="ref-LeBlanc.etal2013"/>
    <w:p>
      <w:pPr>
        <w:pStyle w:val="Bibliography"/>
      </w:pPr>
      <w:r>
        <w:t xml:space="preserve">LeBlanc, J. G. et al. 2013.</w:t>
      </w:r>
      <w:r>
        <w:t xml:space="preserve"> </w:t>
      </w:r>
      <w:hyperlink r:id="rId54">
        <w:r>
          <w:rPr>
            <w:rStyle w:val="Hyperlink"/>
          </w:rPr>
          <w:t xml:space="preserve">Bacteria as vitamin suppliers to their host: A gut microbiota perspective</w:t>
        </w:r>
      </w:hyperlink>
      <w:r>
        <w:t xml:space="preserve">. - Curr. Opin. Biotechnol. 24: 160–168.</w:t>
      </w:r>
    </w:p>
    <w:bookmarkEnd w:id="55"/>
    <w:bookmarkStart w:id="57" w:name="ref-Newbold.etal2015"/>
    <w:p>
      <w:pPr>
        <w:pStyle w:val="Bibliography"/>
      </w:pPr>
      <w:r>
        <w:t xml:space="preserve">Newbold, T. et al. 2015.</w:t>
      </w:r>
      <w:r>
        <w:t xml:space="preserve"> </w:t>
      </w:r>
      <w:hyperlink r:id="rId56">
        <w:r>
          <w:rPr>
            <w:rStyle w:val="Hyperlink"/>
          </w:rPr>
          <w:t xml:space="preserve">Global effects of land use on local terrestrial biodiversity</w:t>
        </w:r>
      </w:hyperlink>
      <w:r>
        <w:t xml:space="preserve">. - Nature 520: 45–50.</w:t>
      </w:r>
    </w:p>
    <w:bookmarkEnd w:id="57"/>
    <w:bookmarkStart w:id="59" w:name="ref-Ng.etal2018"/>
    <w:p>
      <w:pPr>
        <w:pStyle w:val="Bibliography"/>
      </w:pPr>
      <w:r>
        <w:t xml:space="preserve">Ng, S. H. et al. 2018.</w:t>
      </w:r>
      <w:r>
        <w:t xml:space="preserve"> </w:t>
      </w:r>
      <w:hyperlink r:id="rId58">
        <w:r>
          <w:rPr>
            <w:rStyle w:val="Hyperlink"/>
          </w:rPr>
          <w:t xml:space="preserve">The influence of diet and environment on the gut microbial community of field crickets</w:t>
        </w:r>
      </w:hyperlink>
      <w:r>
        <w:t xml:space="preserve">. - Ecol. Evol. 8: 4704–4720.</w:t>
      </w:r>
    </w:p>
    <w:bookmarkEnd w:id="59"/>
    <w:bookmarkStart w:id="61" w:name="ref-Parks.etal2017"/>
    <w:p>
      <w:pPr>
        <w:pStyle w:val="Bibliography"/>
      </w:pPr>
      <w:r>
        <w:t xml:space="preserve">Parks, O. B. et al. 2017.</w:t>
      </w:r>
      <w:r>
        <w:t xml:space="preserve"> </w:t>
      </w:r>
      <w:hyperlink r:id="rId60">
        <w:r>
          <w:rPr>
            <w:rStyle w:val="Hyperlink"/>
          </w:rPr>
          <w:t xml:space="preserve">Exposure to cuticular bacteria can alter host behavior in a funnel-weaving spider</w:t>
        </w:r>
      </w:hyperlink>
      <w:r>
        <w:t xml:space="preserve">. - Curr. Zool. 64: 721–726.</w:t>
      </w:r>
    </w:p>
    <w:bookmarkEnd w:id="61"/>
    <w:bookmarkStart w:id="63" w:name="ref-Seibold.etal2019"/>
    <w:p>
      <w:pPr>
        <w:pStyle w:val="Bibliography"/>
      </w:pPr>
      <w:r>
        <w:t xml:space="preserve">Seibold, S. et al. 2019.</w:t>
      </w:r>
      <w:r>
        <w:t xml:space="preserve"> </w:t>
      </w:r>
      <w:hyperlink r:id="rId62">
        <w:r>
          <w:rPr>
            <w:rStyle w:val="Hyperlink"/>
          </w:rPr>
          <w:t xml:space="preserve">Arthropod decline in grasslands and forests is associated with landscape-level drivers</w:t>
        </w:r>
      </w:hyperlink>
      <w:r>
        <w:t xml:space="preserve">. - Nature 574: 671–674.</w:t>
      </w:r>
    </w:p>
    <w:bookmarkEnd w:id="63"/>
    <w:bookmarkStart w:id="64" w:name="ref-Toft1999"/>
    <w:p>
      <w:pPr>
        <w:pStyle w:val="Bibliography"/>
      </w:pPr>
      <w:r>
        <w:t xml:space="preserve">Toft, S. 1999. Prey</w:t>
      </w:r>
      <w:r>
        <w:t xml:space="preserve"> </w:t>
      </w:r>
      <w:r>
        <w:t xml:space="preserve">Choice</w:t>
      </w:r>
      <w:r>
        <w:t xml:space="preserve"> </w:t>
      </w:r>
      <w:r>
        <w:t xml:space="preserve">and</w:t>
      </w:r>
      <w:r>
        <w:t xml:space="preserve"> </w:t>
      </w:r>
      <w:r>
        <w:t xml:space="preserve">Spider Fitness</w:t>
      </w:r>
      <w:r>
        <w:t xml:space="preserve">. - J. Arachnol. 27: 301–307.</w:t>
      </w:r>
    </w:p>
    <w:bookmarkEnd w:id="64"/>
    <w:bookmarkStart w:id="65" w:name="ref-Uetz.etal1992"/>
    <w:p>
      <w:pPr>
        <w:pStyle w:val="Bibliography"/>
      </w:pPr>
      <w:r>
        <w:t xml:space="preserve">Uetz, G. W. et al. 1992. Survivorship of</w:t>
      </w:r>
      <w:r>
        <w:t xml:space="preserve"> </w:t>
      </w:r>
      <w:r>
        <w:t xml:space="preserve">Wolf Spiders</w:t>
      </w:r>
      <w:r>
        <w:t xml:space="preserve"> </w:t>
      </w:r>
      <w:r>
        <w:t xml:space="preserve">(</w:t>
      </w:r>
      <w:r>
        <w:t xml:space="preserve">Lycosidae</w:t>
      </w:r>
      <w:r>
        <w:t xml:space="preserve">)</w:t>
      </w:r>
      <w:r>
        <w:t xml:space="preserve"> </w:t>
      </w:r>
      <w:r>
        <w:t xml:space="preserve">Reared</w:t>
      </w:r>
      <w:r>
        <w:t xml:space="preserve"> </w:t>
      </w:r>
      <w:r>
        <w:t xml:space="preserve">on</w:t>
      </w:r>
      <w:r>
        <w:t xml:space="preserve"> </w:t>
      </w:r>
      <w:r>
        <w:t xml:space="preserve">Different Diets</w:t>
      </w:r>
      <w:r>
        <w:t xml:space="preserve">. - J. Arachnol. 20: 207–211.</w:t>
      </w:r>
    </w:p>
    <w:bookmarkEnd w:id="65"/>
    <w:bookmarkEnd w:id="66"/>
    <w:bookmarkEnd w:id="67"/>
    <w:sectPr w:rsidR="009D37A7" w:rsidSect="00931685">
      <w:footerReference r:id="rId9" w:type="default"/>
      <w:pgSz w:h="15840" w:w="12240"/>
      <w:pgMar w:bottom="1417" w:footer="720" w:gutter="0" w:header="720" w:left="1417" w:right="1417" w:top="1417"/>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A7071"/>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D2280D"/>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58" Target="https://doi.org/10.1002/ece3.3977" TargetMode="External" /><Relationship Type="http://schemas.openxmlformats.org/officeDocument/2006/relationships/hyperlink" Id="rId38" Target="https://doi.org/10.1007/978-90-481-3977-4_16" TargetMode="External" /><Relationship Type="http://schemas.openxmlformats.org/officeDocument/2006/relationships/hyperlink" Id="rId34" Target="https://doi.org/10.1007/s10886-013-0313-0" TargetMode="External" /><Relationship Type="http://schemas.openxmlformats.org/officeDocument/2006/relationships/hyperlink" Id="rId40" Target="https://doi.org/10.1007/s42965-021-00192-z" TargetMode="External" /><Relationship Type="http://schemas.openxmlformats.org/officeDocument/2006/relationships/hyperlink" Id="rId50" Target="https://doi.org/10.1016/S0269-7491(02)00171-9" TargetMode="External" /><Relationship Type="http://schemas.openxmlformats.org/officeDocument/2006/relationships/hyperlink" Id="rId54" Target="https://doi.org/10.1016/j.copbio.2012.08.005" TargetMode="External" /><Relationship Type="http://schemas.openxmlformats.org/officeDocument/2006/relationships/hyperlink" Id="rId56" Target="https://doi.org/10.1038/nature14324" TargetMode="External" /><Relationship Type="http://schemas.openxmlformats.org/officeDocument/2006/relationships/hyperlink" Id="rId62" Target="https://doi.org/10.1038/s41586-019-1684-3" TargetMode="External" /><Relationship Type="http://schemas.openxmlformats.org/officeDocument/2006/relationships/hyperlink" Id="rId60" Target="https://doi.org/10.1093/cz/zox064" TargetMode="External" /><Relationship Type="http://schemas.openxmlformats.org/officeDocument/2006/relationships/hyperlink" Id="rId42" Target="https://doi.org/10.1111/1574-6976.12025" TargetMode="External" /><Relationship Type="http://schemas.openxmlformats.org/officeDocument/2006/relationships/hyperlink" Id="rId46" Target="https://doi.org/10.1111/1755-0998.13629" TargetMode="External" /><Relationship Type="http://schemas.openxmlformats.org/officeDocument/2006/relationships/hyperlink" Id="rId52" Target="https://doi.org/10.1111/mec.15370" TargetMode="External" /><Relationship Type="http://schemas.openxmlformats.org/officeDocument/2006/relationships/hyperlink" Id="rId44" Target="https://doi.org/10.1146/annurev-ento-120710-100659" TargetMode="External" /><Relationship Type="http://schemas.openxmlformats.org/officeDocument/2006/relationships/hyperlink" Id="rId48" Target="https://doi.org/10.1371/journal.pone.0185809" TargetMode="External" /><Relationship Type="http://schemas.openxmlformats.org/officeDocument/2006/relationships/hyperlink" Id="rId36" Target="https://doi.org/10.1371/journal.pone.0204612"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02/ece3.3977" TargetMode="External" /><Relationship Type="http://schemas.openxmlformats.org/officeDocument/2006/relationships/hyperlink" Id="rId38" Target="https://doi.org/10.1007/978-90-481-3977-4_16" TargetMode="External" /><Relationship Type="http://schemas.openxmlformats.org/officeDocument/2006/relationships/hyperlink" Id="rId34" Target="https://doi.org/10.1007/s10886-013-0313-0" TargetMode="External" /><Relationship Type="http://schemas.openxmlformats.org/officeDocument/2006/relationships/hyperlink" Id="rId40" Target="https://doi.org/10.1007/s42965-021-00192-z" TargetMode="External" /><Relationship Type="http://schemas.openxmlformats.org/officeDocument/2006/relationships/hyperlink" Id="rId50" Target="https://doi.org/10.1016/S0269-7491(02)00171-9" TargetMode="External" /><Relationship Type="http://schemas.openxmlformats.org/officeDocument/2006/relationships/hyperlink" Id="rId54" Target="https://doi.org/10.1016/j.copbio.2012.08.005" TargetMode="External" /><Relationship Type="http://schemas.openxmlformats.org/officeDocument/2006/relationships/hyperlink" Id="rId56" Target="https://doi.org/10.1038/nature14324" TargetMode="External" /><Relationship Type="http://schemas.openxmlformats.org/officeDocument/2006/relationships/hyperlink" Id="rId62" Target="https://doi.org/10.1038/s41586-019-1684-3" TargetMode="External" /><Relationship Type="http://schemas.openxmlformats.org/officeDocument/2006/relationships/hyperlink" Id="rId60" Target="https://doi.org/10.1093/cz/zox064" TargetMode="External" /><Relationship Type="http://schemas.openxmlformats.org/officeDocument/2006/relationships/hyperlink" Id="rId42" Target="https://doi.org/10.1111/1574-6976.12025" TargetMode="External" /><Relationship Type="http://schemas.openxmlformats.org/officeDocument/2006/relationships/hyperlink" Id="rId46" Target="https://doi.org/10.1111/1755-0998.13629" TargetMode="External" /><Relationship Type="http://schemas.openxmlformats.org/officeDocument/2006/relationships/hyperlink" Id="rId52" Target="https://doi.org/10.1111/mec.15370" TargetMode="External" /><Relationship Type="http://schemas.openxmlformats.org/officeDocument/2006/relationships/hyperlink" Id="rId44" Target="https://doi.org/10.1146/annurev-ento-120710-100659" TargetMode="External" /><Relationship Type="http://schemas.openxmlformats.org/officeDocument/2006/relationships/hyperlink" Id="rId48" Target="https://doi.org/10.1371/journal.pone.0185809" TargetMode="External" /><Relationship Type="http://schemas.openxmlformats.org/officeDocument/2006/relationships/hyperlink" Id="rId36" Target="https://doi.org/10.1371/journal.pone.0204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urbanization and diet on the microbiome of the western black widow (Latrodectus hesperus)</dc:title>
  <dc:creator/>
  <cp:keywords/>
  <dcterms:created xsi:type="dcterms:W3CDTF">2022-11-09T22:47:07Z</dcterms:created>
  <dcterms:modified xsi:type="dcterms:W3CDTF">2022-11-09T22:47:07Z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bwm-references.bib</vt:lpwstr>
  </property>
  <property fmtid="{D5CDD505-2E9C-101B-9397-08002B2CF9AE}" pid="3" name="csl">
    <vt:lpwstr>oikos.csl</vt:lpwstr>
  </property>
  <property fmtid="{D5CDD505-2E9C-101B-9397-08002B2CF9AE}" pid="4" name="output">
    <vt:lpwstr/>
  </property>
</Properties>
</file>