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success</w:t>
      </w:r>
      <w:r>
        <w:t xml:space="preserve"> </w:t>
      </w:r>
      <w:r>
        <w:t xml:space="preserve">in</w:t>
      </w:r>
      <w:r>
        <w:t xml:space="preserve"> </w:t>
      </w:r>
      <w:r>
        <w:t xml:space="preserve">a</w:t>
      </w:r>
      <w:r>
        <w:t xml:space="preserve"> </w:t>
      </w:r>
      <w:r>
        <w:t xml:space="preserve">virtual</w:t>
      </w:r>
      <w:r>
        <w:t xml:space="preserve"> </w:t>
      </w:r>
      <w:r>
        <w:t xml:space="preserve">predator-prey</w:t>
      </w:r>
      <w:r>
        <w:t xml:space="preserve"> </w:t>
      </w:r>
      <w:r>
        <w:t xml:space="preserve">system</w:t>
      </w:r>
    </w:p>
    <w:p>
      <w:pPr>
        <w:pStyle w:val="FirstParagraph"/>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Corpsdetexte"/>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Corpsdetexte"/>
      </w:pPr>
      <w:r>
        <w:t xml:space="preserve">Corresponding author :</w:t>
      </w:r>
      <w:r>
        <w:t xml:space="preserve"> </w:t>
      </w:r>
      <w:hyperlink r:id="rId20">
        <w:r>
          <w:rPr>
            <w:rStyle w:val="Lienhypertexte"/>
          </w:rPr>
          <w:t xml:space="preserve">fraser_franco.maxime@courrier.uqam.ca</w:t>
        </w:r>
      </w:hyperlink>
    </w:p>
    <w:p>
      <w:pPr>
        <w:pStyle w:val="Corpsdetexte"/>
      </w:pPr>
      <w:r>
        <w:t xml:space="preserve">Authorship statement : With MFF as the leader, all authors participated in conceiving the ideas behind the study. MFF prepared the data, conducted the analyses, and wrote the manuscript with input from all coauthors. All authors reviewed and accepted the final version of the manuscript.</w:t>
      </w:r>
    </w:p>
    <w:p>
      <w:pPr>
        <w:pStyle w:val="Corpsdetexte"/>
      </w:pPr>
      <w:r>
        <w:t xml:space="preserve">Open research statement : The data and code used to produce the results in this manuscript are freely available on GitHub</w:t>
      </w:r>
      <w:r>
        <w:t xml:space="preserve"> </w:t>
      </w:r>
      <w:hyperlink r:id="rId21">
        <w:r>
          <w:rPr>
            <w:rStyle w:val="Lienhypertexte"/>
          </w:rPr>
          <w:t xml:space="preserve">https://github.com/quantitative-ecologist/experience-hunting-tactics</w:t>
        </w:r>
      </w:hyperlink>
    </w:p>
    <w:p>
      <w:pPr>
        <w:pStyle w:val="Corpsdetexte"/>
      </w:pPr>
      <w:r>
        <w:t xml:space="preserve">Keywords: foraging behaviour, reciprocal behavioural plasticity, learning, antipredator behaviour, virtual ecology, Dead by Daylight</w:t>
      </w:r>
    </w:p>
    <w:p>
      <w:pPr>
        <w:pStyle w:val="Corpsdetexte"/>
      </w:pPr>
      <w:r>
        <w:t xml:space="preserve">Acknowledgements : We warmly thank Behaviour Interactive Inc. for our collaboration which helps in advancing predator-prey science. We thank Julien Céré who managed the communication between us and Behaviour Interactive Inc., and Marine Dupuy who helped us prepare the data used in this study. We thank Alastair J. Wilson for insightful comments on the results. We also thank all members of Pierre-Olivier Montiglio’s laboratory who provided useful feedback on earlier versions of this work. This work was supported by an NSERC postgraduate doctoral scholarship (569716-2022).</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1" Target="https://github.com/quantitative-ecologist/experience-hunting-tactics"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quantitative-ecologist/experience-hunting-tactics"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 shapes individual foraging specialization and success in a virtual predator-prey system</dc:title>
  <dc:creator/>
  <cp:keywords/>
  <dcterms:created xsi:type="dcterms:W3CDTF">2023-10-30T23:05:49Z</dcterms:created>
  <dcterms:modified xsi:type="dcterms:W3CDTF">2023-10-30T23:05:49Z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