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supporting</w:t>
      </w:r>
      <w:r>
        <w:t xml:space="preserve"> </w:t>
      </w:r>
      <w:r>
        <w:t xml:space="preserve">information</w:t>
      </w:r>
      <w:r>
        <w:t xml:space="preserve"> </w:t>
      </w:r>
      <w:r>
        <w:t xml:space="preserve">for</w:t>
      </w:r>
      <w:r>
        <w:t xml:space="preserve"> </w:t>
      </w:r>
      <w:r>
        <w:t xml:space="preserve">:</w:t>
      </w:r>
      <w:r>
        <w:t xml:space="preserve"> </w:t>
      </w: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need to talk about priors here for the gamms etc</w:t>
      </w:r>
    </w:p>
    <w:p>
      <w:pPr>
        <w:pStyle w:val="CaptionedFigure"/>
      </w:pPr>
      <w:r>
        <w:drawing>
          <wp:inline>
            <wp:extent cx="5969000" cy="238760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C:/Users/maxim/OneDrive/Documents/GitHub/Chapter2/outputs/05_outputs_figures/05_figureS1.png" id="22" name="Picture"/>
                    <pic:cNvPicPr>
                      <a:picLocks noChangeArrowheads="1" noChangeAspect="1"/>
                    </pic:cNvPicPr>
                  </pic:nvPicPr>
                  <pic:blipFill>
                    <a:blip r:embed="rId20"/>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69000" cy="5969000"/>
            <wp:effectExtent b="0" l="0" r="0" t="0"/>
            <wp:docPr descr="Figure S2. Distribution of the intra individual behavioural variation (i.e. specialization) of predators with the greatest increase in hunting success (A and B) and greatest decrease (B and C) in hunting success when they were novices (A and C) and then (B and D) advanced hunters." title="" id="24" name="Picture"/>
            <a:graphic>
              <a:graphicData uri="http://schemas.openxmlformats.org/drawingml/2006/picture">
                <pic:pic>
                  <pic:nvPicPr>
                    <pic:cNvPr descr="C:/Users/maxim/OneDrive/Documents/GitHub/Chapter2/outputs/05_outputs_figures/05_figureS2.png" id="25"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(B and C) in hunting success when they were novices (A and C) and then (B and D) advanced hunters.</w:t>
      </w:r>
    </w:p>
    <w:p>
      <w:pPr>
        <w:pStyle w:val="CaptionedFigure"/>
      </w:pPr>
      <w:r>
        <w:drawing>
          <wp:inline>
            <wp:extent cx="5969000" cy="2611547"/>
            <wp:effectExtent b="0" l="0" r="0" t="0"/>
            <wp:docPr descr="Figure S4. Posterior median differences and 95% credible intervals between the parameter values of each predator experience level predicted by the MDHGLM." title="" id="27" name="Picture"/>
            <a:graphic>
              <a:graphicData uri="http://schemas.openxmlformats.org/drawingml/2006/picture">
                <pic:pic>
                  <pic:nvPicPr>
                    <pic:cNvPr descr="C:/Users/maxim/OneDrive/Documents/GitHub/Chapter2/outputs/05_outputs_figures/05_figureS4.png" id="28" name="Picture"/>
                    <pic:cNvPicPr>
                      <a:picLocks noChangeArrowheads="1" noChangeAspect="1"/>
                    </pic:cNvPicPr>
                  </pic:nvPicPr>
                  <pic:blipFill>
                    <a:blip r:embed="rId26"/>
                    <a:stretch>
                      <a:fillRect/>
                    </a:stretch>
                  </pic:blipFill>
                  <pic:spPr bwMode="auto">
                    <a:xfrm>
                      <a:off x="0" y="0"/>
                      <a:ext cx="5969000" cy="2611547"/>
                    </a:xfrm>
                    <a:prstGeom prst="rect">
                      <a:avLst/>
                    </a:prstGeom>
                    <a:noFill/>
                    <a:ln w="9525">
                      <a:noFill/>
                      <a:headEnd/>
                      <a:tailEnd/>
                    </a:ln>
                  </pic:spPr>
                </pic:pic>
              </a:graphicData>
            </a:graphic>
          </wp:inline>
        </w:drawing>
      </w:r>
    </w:p>
    <w:p>
      <w:pPr>
        <w:pStyle w:val="ImageCaption"/>
      </w:pPr>
      <w:r>
        <w:rPr>
          <w:bCs/>
          <w:b/>
        </w:rPr>
        <w:t xml:space="preserve">Figure S4.</w:t>
      </w:r>
      <w:r>
        <w:t xml:space="preserve"> </w:t>
      </w:r>
      <w:r>
        <w:t xml:space="preserve">Posterior median differences and 95% credible intervals between the parameter values of each predator experience level predicted by the MDHGLM.</w:t>
      </w:r>
    </w:p>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supporting information for : Hunting experience shapes individual foraging specialisation and predator-prey interactions in an online videogame</dc:title>
  <dc:creator/>
  <cp:keywords/>
  <dcterms:created xsi:type="dcterms:W3CDTF">2023-02-02T20:23:11Z</dcterms:created>
  <dcterms:modified xsi:type="dcterms:W3CDTF">2023-02-02T20:23:11Z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