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behaviour</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pPr>
        <w:pStyle w:val="FirstParagraph"/>
      </w:pPr>
      <w:r>
        <w:t xml:space="preserve">need to talk about priors here for the gamms etc</w:t>
      </w:r>
    </w:p>
    <w:p>
      <w:pPr>
        <w:pStyle w:val="CaptionedFigure"/>
      </w:pPr>
      <w:r>
        <w:drawing>
          <wp:inline>
            <wp:extent cx="5969000" cy="2387600"/>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 title="" id="21" name="Picture"/>
            <a:graphic>
              <a:graphicData uri="http://schemas.openxmlformats.org/drawingml/2006/picture">
                <pic:pic>
                  <pic:nvPicPr>
                    <pic:cNvPr descr="C:/Users/maxim/OneDrive/Documents/GitHub/Chapter2/outputs/05_outputs_figures/05_figureS1.png" id="22" name="Picture"/>
                    <pic:cNvPicPr>
                      <a:picLocks noChangeArrowheads="1" noChangeAspect="1"/>
                    </pic:cNvPicPr>
                  </pic:nvPicPr>
                  <pic:blipFill>
                    <a:blip r:embed="rId20"/>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w:t>
      </w:r>
    </w:p>
    <w:p>
      <w:pPr>
        <w:pStyle w:val="CaptionedFigure"/>
      </w:pPr>
      <w:r>
        <w:drawing>
          <wp:inline>
            <wp:extent cx="5969000" cy="5969000"/>
            <wp:effectExtent b="0" l="0" r="0" t="0"/>
            <wp:docPr descr="Figure S2. Distribution of the intra individual behavioural variation (i.e. specialization) of predators with the greatest increase in hunting success (A and B) and greatest decrease (B and C) in hunting success when they were novices (A and C) and then (B and D) advanced hunters." title="" id="24" name="Picture"/>
            <a:graphic>
              <a:graphicData uri="http://schemas.openxmlformats.org/drawingml/2006/picture">
                <pic:pic>
                  <pic:nvPicPr>
                    <pic:cNvPr descr="C:/Users/maxim/OneDrive/Documents/GitHub/Chapter2/outputs/05_outputs_figures/05_figureS2.png" id="25" name="Picture"/>
                    <pic:cNvPicPr>
                      <a:picLocks noChangeArrowheads="1" noChangeAspect="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Distribution of the intra individual behavioural variation (i.e. specialization) of predators with the greatest increase in hunting success (A and B) and greatest decrease (B and C) in hunting success when they were novices (A and C) and then (B and D) advanced hunters.</w:t>
      </w:r>
    </w:p>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6375F4">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24EB4"/>
    <w:pPr>
      <w:spacing w:after="36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pPr>
      <w:spacing w:after="480"/>
    </w:pPr>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behaviour shape individual foraging specialisation in a predator-prey videogame</dc:title>
  <dc:creator/>
  <cp:keywords/>
  <dcterms:created xsi:type="dcterms:W3CDTF">2023-01-31T22:48:07Z</dcterms:created>
  <dcterms:modified xsi:type="dcterms:W3CDTF">2023-01-31T22:48:07Z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