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8.png" ContentType="image/png"/>
  <Override PartName="/word/media/rId42.png" ContentType="image/png"/>
  <Override PartName="/word/media/rId4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have limited evidence for either its role in predator foraging specialization or the ecological/fitness consequences of such among individual behavioural differences on predator-prey interactions</w:t>
      </w:r>
      <w:r>
        <w:t xml:space="preserve"> </w:t>
      </w:r>
      <w:r>
        <w:t xml:space="preserve">(Dukas 2019)</w:t>
      </w:r>
      <w:r>
        <w:t xml:space="preserve">.</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uncover details of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(REFERENCES). Importantly, we have limited information on the ecological contexts - except for competition - that favour one strategy over the other.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expertise and prey behaviour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pursue. Second, we test the hypothesis that individual variation in foraging behaviour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3"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get to choose if they wish to play as a predator or a prey. The objective of the predator-player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w:t>
      </w:r>
      <m:oMath>
        <m:bar>
          <m:barPr>
            <m:pos m:val="top"/>
          </m:barPr>
          <m:e>
            <m:r>
              <m:t>x</m:t>
            </m:r>
          </m:e>
        </m:bar>
      </m:oMath>
      <w:r>
        <w:t xml:space="preserve"> </w:t>
      </w:r>
      <w:r>
        <w:t xml:space="preserve">= 3.31 ± 0.49). For the prey, we averaged the travel speed of the four individuals within a match to obtain the average speed of the group (</w:t>
      </w:r>
      <m:oMath>
        <m:bar>
          <m:barPr>
            <m:pos m:val="top"/>
          </m:barPr>
          <m:e>
            <m:r>
              <m:t>x</m:t>
            </m:r>
          </m:e>
        </m:bar>
      </m:oMath>
      <w:r>
        <w:t xml:space="preserve"> </w:t>
      </w:r>
      <w:r>
        <w:t xml:space="preserve">= 2.40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32"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rPr>
          <w:iCs/>
          <w:i/>
        </w:rPr>
        <w:t xml:space="preserve">ajouter la description sur les autres variables de performance</w:t>
      </w:r>
    </w:p>
    <w:p>
      <w:pPr>
        <w:pStyle w:val="BodyText"/>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variance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defined all models to run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1"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predicted values from the GAMM (see Figure S1 in the supporting information).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matches.</w:t>
      </w:r>
    </w:p>
    <w:p>
      <w:pPr>
        <w:pStyle w:val="BodyText"/>
      </w:pPr>
      <w:r>
        <w:t xml:space="preserve">For each level of experience (i.e. novice, intermediate, advanced), we estimated the mean speed of individual predators, and a heterogeneous structure of the residuals such that we could estimate their intra-individual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p>
      <w:pPr>
        <w:pStyle w:val="BodyText"/>
      </w:pPr>
      <w:bookmarkStart w:id="28"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d</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8"/>
    </w:p>
    <w:p>
      <w:pPr>
        <w:pStyle w:val="FirstParagraph"/>
      </w:pPr>
      <w:bookmarkStart w:id="29"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Sup>
                      <m:e>
                        <m:r>
                          <m:t>σ</m:t>
                        </m:r>
                      </m:e>
                      <m:sub>
                        <m:r>
                          <m:t>e</m:t>
                        </m:r>
                        <m:r>
                          <m:rPr>
                            <m:sty m:val="p"/>
                          </m:rPr>
                          <m:t>,</m:t>
                        </m:r>
                        <m:r>
                          <m:t> </m:t>
                        </m:r>
                        <m:r>
                          <m:t>p</m:t>
                        </m:r>
                        <m:r>
                          <m:t>r</m:t>
                        </m:r>
                        <m:r>
                          <m:t>e</m:t>
                        </m:r>
                        <m:r>
                          <m:t>y</m:t>
                        </m:r>
                      </m:sub>
                      <m:sup>
                        <m:r>
                          <m:t>2</m:t>
                        </m:r>
                      </m:sup>
                    </m:sSubSup>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29"/>
    </w:p>
    <w:p>
      <w:pPr>
        <w:pStyle w:val="FirstParagraph"/>
      </w:pPr>
      <w:bookmarkStart w:id="30"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0"/>
    </w:p>
    <w:p>
      <w:pPr>
        <w:pStyle w:val="FirstParagraph"/>
      </w:pPr>
      <w:r>
        <w:t xml:space="preserve">where</w:t>
      </w:r>
      <w:r>
        <w:t xml:space="preserve"> </w:t>
      </w:r>
      <m:oMath>
        <m:r>
          <m:t>e</m:t>
        </m:r>
        <m:r>
          <m:t>n</m:t>
        </m:r>
        <m:r>
          <m:t>v</m:t>
        </m:r>
        <m:r>
          <m:rPr>
            <m:sty m:val="p"/>
          </m:rPr>
          <m:t>∼</m:t>
        </m:r>
        <m:r>
          <m:t>N</m:t>
        </m:r>
        <m:d>
          <m:dPr>
            <m:begChr m:val="("/>
            <m:endChr m:val=")"/>
            <m:sepChr m:val=""/>
            <m:grow/>
          </m:dPr>
          <m:e>
            <m:r>
              <m:t>0</m:t>
            </m:r>
            <m:r>
              <m:rPr>
                <m:sty m:val="p"/>
              </m:rPr>
              <m:t>,</m:t>
            </m:r>
            <m:r>
              <m:t> </m:t>
            </m:r>
            <m:r>
              <m:t>I</m:t>
            </m:r>
            <m:r>
              <m:t> </m:t>
            </m:r>
            <m:sSubSup>
              <m:e>
                <m:r>
                  <m:t>σ</m:t>
                </m:r>
              </m:e>
              <m:sub>
                <m:r>
                  <m:t>e</m:t>
                </m:r>
                <m:r>
                  <m:t>n</m:t>
                </m:r>
                <m:r>
                  <m:t>v</m:t>
                </m:r>
              </m:sub>
              <m:sup>
                <m:r>
                  <m:t>2</m:t>
                </m:r>
              </m:sup>
            </m:sSubSup>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Sup>
              <m:e>
                <m:r>
                  <m:t>σ</m:t>
                </m:r>
              </m:e>
              <m:sub>
                <m:r>
                  <m:t>a</m:t>
                </m:r>
                <m:r>
                  <m:t>v</m:t>
                </m:r>
              </m:sub>
              <m:sup>
                <m:r>
                  <m:t>2</m:t>
                </m:r>
              </m:sup>
            </m:sSubSup>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 The variance parameters</w:t>
      </w:r>
      <w:r>
        <w:t xml:space="preserve"> </w:t>
      </w:r>
      <m:oMath>
        <m:sSubSup>
          <m:e>
            <m:r>
              <m:t>σ</m:t>
            </m:r>
          </m:e>
          <m:sub>
            <m:r>
              <m:t>e</m:t>
            </m:r>
            <m:r>
              <m:t>n</m:t>
            </m:r>
            <m:r>
              <m:t>v</m:t>
            </m:r>
          </m:sub>
          <m:sup>
            <m:r>
              <m:t>2</m:t>
            </m:r>
          </m:sup>
        </m:sSubSup>
      </m:oMath>
      <w:r>
        <w:t xml:space="preserve">,</w:t>
      </w:r>
      <w:r>
        <w:t xml:space="preserve"> </w:t>
      </w:r>
      <m:oMath>
        <m:sSubSup>
          <m:e>
            <m:r>
              <m:t>σ</m:t>
            </m:r>
          </m:e>
          <m:sub>
            <m:r>
              <m:t>a</m:t>
            </m:r>
            <m:r>
              <m:t>v</m:t>
            </m:r>
          </m:sub>
          <m:sup>
            <m:r>
              <m:t>2</m:t>
            </m:r>
          </m:sup>
        </m:sSubSup>
      </m:oMath>
      <w:r>
        <w:t xml:space="preserve">, and</w:t>
      </w:r>
      <w:r>
        <w:t xml:space="preserve"> </w:t>
      </w:r>
      <m:oMath>
        <m:sSubSup>
          <m:e>
            <m:r>
              <m:t>σ</m:t>
            </m:r>
          </m:e>
          <m:sub>
            <m:r>
              <m:t>i</m:t>
            </m:r>
            <m:r>
              <m:t>d</m:t>
            </m:r>
          </m:sub>
          <m:sup>
            <m:r>
              <m:t>2</m:t>
            </m:r>
          </m:sup>
        </m:sSubSup>
      </m:oMath>
      <w:r>
        <w:t xml:space="preserve">, correspond to the among environment, among avatar, and among individual variances, respectively.</w:t>
      </w:r>
      <w:r>
        <w:t xml:space="preserve"> </w:t>
      </w:r>
      <m:oMath>
        <m:r>
          <m:t>I</m:t>
        </m:r>
      </m:oMath>
      <w:r>
        <w:t xml:space="preserve"> </w:t>
      </w:r>
      <w:r>
        <w:t xml:space="preserve">is the identity matrix, with</w:t>
      </w:r>
      <w:r>
        <w:t xml:space="preserve"> </w:t>
      </w:r>
      <m:oMath>
        <m:r>
          <m:t>I</m:t>
        </m:r>
        <m:r>
          <m:rPr>
            <m:sty m:val="p"/>
          </m:rPr>
          <m:t>,</m:t>
        </m:r>
        <m:r>
          <m:t> </m:t>
        </m:r>
        <m:sSup>
          <m:e>
            <m:r>
              <m:t>σ</m:t>
            </m:r>
          </m:e>
          <m:sup>
            <m:r>
              <m:t>2</m:t>
            </m:r>
          </m:sup>
        </m:sSup>
      </m:oMath>
      <w:r>
        <w:t xml:space="preserve"> </w:t>
      </w:r>
      <w:r>
        <w:t xml:space="preserve">indicating that the random effects are independently and identically distributed.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The first two equations were parametrized with a Gaussian distribution family, while the third equation was parametrized with a beta-binomial distribution family. We parametrized the model to run four MCMC chains with 1000 posterior samples for each parameter. To do so, we ran 2500 iterations with a thinning set to 8, with the first 500 iterations used as warmups. We explain how we specified the priors for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d</m:t>
                </m:r>
              </m:sub>
              <m:sup>
                <m:r>
                  <m:t>2</m:t>
                </m:r>
              </m:sup>
            </m:sSubSup>
          </m:e>
        </m:d>
      </m:oMath>
      <w:r>
        <w:t xml:space="preserve">) and among each trait (e.g. </w:t>
      </w:r>
      <m:oMath>
        <m:r>
          <m:t>c</m:t>
        </m:r>
        <m:r>
          <m:t>o</m:t>
        </m:r>
        <m:r>
          <m:t>r</m:t>
        </m:r>
        <m:d>
          <m:dPr>
            <m:begChr m:val="("/>
            <m:endChr m:val=")"/>
            <m:sepChr m:val=""/>
            <m:grow/>
          </m:dPr>
          <m:e>
            <m:sSubSup>
              <m:e>
                <m:r>
                  <m:t>σ</m:t>
                </m:r>
              </m:e>
              <m:sub>
                <m:r>
                  <m:t>i</m:t>
                </m:r>
                <m:sSub>
                  <m:e>
                    <m:r>
                      <m:t>d</m:t>
                    </m:r>
                  </m:e>
                  <m:sub>
                    <m:r>
                      <m:t>m</m:t>
                    </m:r>
                  </m:sub>
                </m:sSub>
                <m:r>
                  <m:t> </m:t>
                </m:r>
                <m:r>
                  <m:t>p</m:t>
                </m:r>
                <m:r>
                  <m:t>r</m:t>
                </m:r>
                <m:r>
                  <m:t>e</m:t>
                </m:r>
                <m:r>
                  <m:t>d</m:t>
                </m:r>
              </m:sub>
              <m:sup>
                <m:r>
                  <m:t>2</m:t>
                </m:r>
              </m:sup>
            </m:sSubSup>
            <m:r>
              <m:t> </m:t>
            </m:r>
            <m:sSubSup>
              <m:e>
                <m:r>
                  <m:t>σ</m:t>
                </m:r>
              </m:e>
              <m:sub>
                <m:r>
                  <m:t>i</m:t>
                </m:r>
                <m:sSub>
                  <m:e>
                    <m:r>
                      <m:t>d</m:t>
                    </m:r>
                  </m:e>
                  <m:sub>
                    <m:r>
                      <m:t>d</m:t>
                    </m:r>
                  </m:sub>
                </m:sSub>
                <m:r>
                  <m:t> </m:t>
                </m:r>
                <m:r>
                  <m:t>p</m:t>
                </m:r>
                <m:r>
                  <m:t>r</m:t>
                </m:r>
                <m:r>
                  <m:t>e</m:t>
                </m:r>
                <m:r>
                  <m:t>y</m:t>
                </m:r>
              </m:sub>
              <m:sup>
                <m:r>
                  <m:t>2</m:t>
                </m:r>
              </m:sup>
            </m:sSubSup>
          </m:e>
        </m:d>
      </m:oMath>
      <w:r>
        <w:t xml:space="preserve">) within a level of experience. We also evaluated these correlations among the different levels of experience (e.g. </w:t>
      </w:r>
      <m:oMath>
        <m:r>
          <m:t>c</m:t>
        </m:r>
        <m:r>
          <m:t>o</m:t>
        </m:r>
        <m:r>
          <m:t>r</m:t>
        </m:r>
        <m:d>
          <m:dPr>
            <m:begChr m:val="("/>
            <m:endChr m:val=")"/>
            <m:sepChr m:val=""/>
            <m:grow/>
          </m:dPr>
          <m:e>
            <m:sSubSup>
              <m:e>
                <m:r>
                  <m:t>σ</m:t>
                </m:r>
              </m:e>
              <m:sub>
                <m:r>
                  <m:t>i</m:t>
                </m:r>
                <m:sSub>
                  <m:e>
                    <m:r>
                      <m:t>d</m:t>
                    </m:r>
                  </m:e>
                  <m:sub>
                    <m:r>
                      <m:t>m</m:t>
                    </m:r>
                  </m:sub>
                </m:sSub>
                <m:r>
                  <m:t> </m:t>
                </m:r>
                <m:r>
                  <m:t>p</m:t>
                </m:r>
                <m:r>
                  <m:t>r</m:t>
                </m:r>
                <m:r>
                  <m:t>e</m:t>
                </m:r>
                <m:r>
                  <m:t>d</m:t>
                </m:r>
                <m:r>
                  <m:t> </m:t>
                </m:r>
                <m:r>
                  <m:t>n</m:t>
                </m:r>
                <m:r>
                  <m:t>o</m:t>
                </m:r>
                <m:r>
                  <m:t>v</m:t>
                </m:r>
                <m:r>
                  <m:t>i</m:t>
                </m:r>
                <m:r>
                  <m:t>c</m:t>
                </m:r>
                <m:r>
                  <m:t>e</m:t>
                </m:r>
              </m:sub>
              <m:sup>
                <m:r>
                  <m:t>2</m:t>
                </m:r>
              </m:sup>
            </m:sSubSup>
            <m:r>
              <m:t> </m:t>
            </m:r>
            <m:sSubSup>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up>
                <m:r>
                  <m:t>2</m:t>
                </m:r>
              </m:sup>
            </m:sSubSup>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using a multivariate Gaussian distribution.</w:t>
      </w:r>
    </w:p>
    <w:p>
      <w:pPr>
        <w:pStyle w:val="BodyText"/>
      </w:pPr>
      <w:r>
        <w:t xml:space="preserve">Lastly we calculated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predator’s speed for each stage of experience, allowing us to report standardized effect sizes of individual variance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1"/>
    <w:bookmarkEnd w:id="32"/>
    <w:bookmarkEnd w:id="33"/>
    <w:bookmarkStart w:id="50" w:name="results"/>
    <w:p>
      <w:pPr>
        <w:pStyle w:val="Heading1"/>
      </w:pPr>
      <w:r>
        <w:t xml:space="preserve">RESULTS</w:t>
      </w:r>
    </w:p>
    <w:bookmarkStart w:id="34"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global smoother with varying intercepts only (Table S1 in the supporting information). The model detected only a weak relationship between hunting success and experience (i.e. the cumulative amount of matches played), such that players did not substantially optimize their success with increasing experience as we expected (Table 1 and Figure S1 in the supporting information). However, predators did differ in their average hunting success across the study period (Figure S1).</w:t>
      </w:r>
      <w:r>
        <w:t xml:space="preserve"> </w:t>
      </w:r>
      <w:r>
        <w:rPr>
          <w:iCs/>
          <w:i/>
        </w:rPr>
        <w:t xml:space="preserve">peut être coder un autre modèle où je contrôle pour les proies afin de voir si les différences de succès disparaissent</w:t>
      </w:r>
    </w:p>
    <w:p>
      <w:pPr>
        <w:pStyle w:val="TableCaption"/>
      </w:pPr>
      <w:r>
        <w:rPr>
          <w:rFonts/>
          <w:b w:val="true"/>
        </w:rPr>
        <w:t xml:space="preserve">Table </w:t>
      </w:r>
      <w:bookmarkStart w:id="35b73daa-7222-413b-8258-8313fc44952b"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b73daa-7222-413b-8258-8313fc44952b"/>
      <w:r>
        <w:t xml:space="preserve">: </w:t>
      </w:r>
      <w:r>
        <w:t xml:space="preserve">Posterior mean values, standard errors, and 95% credible intervals for the GAMM with a common global smoother. The values are presented on the logit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526"/>
        <w:gridCol w:w="1902"/>
        <w:gridCol w:w="1279"/>
        <w:gridCol w:w="1034"/>
        <w:gridCol w:w="1034"/>
      </w:tblGrid>
      <w:tr>
        <w:trPr>
          <w:cantSplit/>
          <w:trHeight w:val="57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Posterior 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Est.Error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97.5%</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0.135</w:t>
            </w:r>
          </w:p>
        </w:tc>
      </w:tr>
      <w:tr>
        <w:trPr>
          <w:cantSplit/>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 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0.603</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0.686</w:t>
            </w:r>
          </w:p>
        </w:tc>
      </w:tr>
      <w:tr>
        <w:trPr>
          <w:cantSplit/>
          <w:trHeight w:val="61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w:t>
            </w:r>
          </w:p>
        </w:tc>
      </w:tr>
    </w:tbl>
    <w:bookmarkEnd w:id="34"/>
    <w:bookmarkStart w:id="41" w:name="X6edf630a269e5217c76dd70c0476a389c38d682"/>
    <w:p>
      <w:pPr>
        <w:pStyle w:val="Heading2"/>
      </w:pPr>
      <w:r>
        <w:t xml:space="preserve">Effect of experience on the development of behavioural specialization</w:t>
      </w:r>
    </w:p>
    <w:p>
      <w:pPr>
        <w:pStyle w:val="CaptionedFigure"/>
      </w:pPr>
      <w:r>
        <w:drawing>
          <wp:inline>
            <wp:extent cx="5969000" cy="2728685"/>
            <wp:effectExtent b="0" l="0" r="0" t="0"/>
            <wp:docPr descr="Figure 1. Coefficient of variation for the predator’s speed and for the speed of the prey encountered at each level of experience. (A) Coefficient of variation for the among individual differences in average behaviour. (B) Coefficient fo variation for the among individual differences in intra individual variance (i.e. specialization)." title="" id="36" name="Picture"/>
            <a:graphic>
              <a:graphicData uri="http://schemas.openxmlformats.org/drawingml/2006/picture">
                <pic:pic>
                  <pic:nvPicPr>
                    <pic:cNvPr descr="C:/Users/maxim/OneDrive/Documents/GitHub/Chapter2/outputs/05_outputs_figures/05_figure1.png" id="37" name="Picture"/>
                    <pic:cNvPicPr>
                      <a:picLocks noChangeArrowheads="1" noChangeAspect="1"/>
                    </pic:cNvPicPr>
                  </pic:nvPicPr>
                  <pic:blipFill>
                    <a:blip r:embed="rId35"/>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Coefficient of variation for the predator’s speed and for the speed of the prey encountered at each level of experience. (A) Coefficient of variation for the among individual differences in average behaviour. (B) Coefficient fo variation for the among individual differences in intra individual variance (i.e. specialization).</w:t>
      </w:r>
    </w:p>
    <w:p>
      <w:pPr>
        <w:pStyle w:val="BodyText"/>
      </w:pPr>
      <w:r>
        <w:t xml:space="preserve">blablabla figure 2</w:t>
      </w:r>
    </w:p>
    <w:p>
      <w:pPr>
        <w:pStyle w:val="CaptionedFigure"/>
      </w:pPr>
      <w:r>
        <w:drawing>
          <wp:inline>
            <wp:extent cx="5969000" cy="3069771"/>
            <wp:effectExtent b="0" l="0" r="0" t="0"/>
            <wp:docPr descr="Figure 2. Distribution of the intra individual behavioural variation (i.e. specialization) of predators when they were (A) novices and (B) advanced. The red band displays the 95% CI of the intercept for the intra individual variance in predator speed." title="" id="39" name="Picture"/>
            <a:graphic>
              <a:graphicData uri="http://schemas.openxmlformats.org/drawingml/2006/picture">
                <pic:pic>
                  <pic:nvPicPr>
                    <pic:cNvPr descr="C:/Users/maxim/OneDrive/Documents/GitHub/Chapter2/outputs/05_outputs_figures/05_figure2.png" id="40" name="Picture"/>
                    <pic:cNvPicPr>
                      <a:picLocks noChangeArrowheads="1" noChangeAspect="1"/>
                    </pic:cNvPicPr>
                  </pic:nvPicPr>
                  <pic:blipFill>
                    <a:blip r:embed="rId38"/>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(B) advanced. The red band displays the 95% CI of the intercept for the intra individual variance in predator speed.</w:t>
      </w:r>
    </w:p>
    <w:bookmarkEnd w:id="41"/>
    <w:bookmarkStart w:id="45" w:name="Xa5033a5fb05bdfc06237c5869f6197e2d718108"/>
    <w:p>
      <w:pPr>
        <w:pStyle w:val="Heading2"/>
      </w:pPr>
      <w:r>
        <w:t xml:space="preserve">Relationship between behavioural specialization and prey variability</w:t>
      </w:r>
    </w:p>
    <w:p>
      <w:pPr>
        <w:pStyle w:val="CaptionedFigure"/>
      </w:pPr>
      <w:r>
        <w:drawing>
          <wp:inline>
            <wp:extent cx="5969000" cy="5167194"/>
            <wp:effectExtent b="0" l="0" r="0" t="0"/>
            <wp:docPr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title="" id="43" name="Picture"/>
            <a:graphic>
              <a:graphicData uri="http://schemas.openxmlformats.org/drawingml/2006/picture">
                <pic:pic>
                  <pic:nvPicPr>
                    <pic:cNvPr descr="C:/Users/maxim/OneDrive/Documents/GitHub/Chapter2/outputs/05_outputs_figures/05_figure3.png" id="44" name="Picture"/>
                    <pic:cNvPicPr>
                      <a:picLocks noChangeArrowheads="1" noChangeAspect="1"/>
                    </pic:cNvPicPr>
                  </pic:nvPicPr>
                  <pic:blipFill>
                    <a:blip r:embed="rId42"/>
                    <a:stretch>
                      <a:fillRect/>
                    </a:stretch>
                  </pic:blipFill>
                  <pic:spPr bwMode="auto">
                    <a:xfrm>
                      <a:off x="0" y="0"/>
                      <a:ext cx="5969000" cy="51671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w:t>
      </w:r>
    </w:p>
    <w:bookmarkEnd w:id="45"/>
    <w:bookmarkStart w:id="49" w:name="X97d8a9e147c9f69411c72343e7f467948ed7cd6"/>
    <w:p>
      <w:pPr>
        <w:pStyle w:val="Heading2"/>
      </w:pPr>
      <w:r>
        <w:t xml:space="preserve">Hunting success of behavioural specialists vs generalists</w:t>
      </w:r>
    </w:p>
    <w:p>
      <w:pPr>
        <w:pStyle w:val="FirstParagraph"/>
      </w:pPr>
      <w:r>
        <w:rPr>
          <w:iCs/>
          <w:i/>
        </w:rPr>
        <w:t xml:space="preserve">relationship between IIV of prey and success fades with experience</w:t>
      </w:r>
    </w:p>
    <w:p>
      <w:pPr>
        <w:pStyle w:val="CaptionedFigure"/>
      </w:pPr>
      <w:r>
        <w:drawing>
          <wp:inline>
            <wp:extent cx="5969000" cy="5969000"/>
            <wp:effectExtent b="0" l="0" r="0" t="0"/>
            <wp:docPr descr="Figure 4. Title (A) and (B) Novices. (C) and (D) Advanced." title="" id="47" name="Picture"/>
            <a:graphic>
              <a:graphicData uri="http://schemas.openxmlformats.org/drawingml/2006/picture">
                <pic:pic>
                  <pic:nvPicPr>
                    <pic:cNvPr descr="C:/Users/maxim/OneDrive/Documents/GitHub/Chapter2/outputs/05_outputs_figures/05_figure4.png" id="48" name="Picture"/>
                    <pic:cNvPicPr>
                      <a:picLocks noChangeArrowheads="1" noChangeAspect="1"/>
                    </pic:cNvPicPr>
                  </pic:nvPicPr>
                  <pic:blipFill>
                    <a:blip r:embed="rId4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Novices. (C) and (D) Advanced.</w:t>
      </w:r>
    </w:p>
    <w:p>
      <w:r>
        <w:br w:type="page"/>
      </w:r>
    </w:p>
    <w:bookmarkEnd w:id="49"/>
    <w:bookmarkEnd w:id="50"/>
    <w:bookmarkStart w:id="165" w:name="litterature-cited"/>
    <w:p>
      <w:pPr>
        <w:pStyle w:val="Heading1"/>
      </w:pPr>
      <w:r>
        <w:t xml:space="preserve">LITTERATURE CITED</w:t>
      </w:r>
    </w:p>
    <w:bookmarkStart w:id="164" w:name="refs"/>
    <w:bookmarkStart w:id="52" w:name="ref-Araujo.etal2011"/>
    <w:p>
      <w:pPr>
        <w:pStyle w:val="Bibliography"/>
      </w:pPr>
      <w:r>
        <w:t xml:space="preserve">Araújo, M.S., Bolnick, D.I. &amp; Layman, C.A. (2011).</w:t>
      </w:r>
      <w:r>
        <w:t xml:space="preserve"> </w:t>
      </w:r>
      <w:hyperlink r:id="rId51">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2"/>
    <w:bookmarkStart w:id="54" w:name="ref-Beauchamp2020"/>
    <w:p>
      <w:pPr>
        <w:pStyle w:val="Bibliography"/>
      </w:pPr>
      <w:r>
        <w:t xml:space="preserve">Beauchamp, G. (2020).</w:t>
      </w:r>
      <w:r>
        <w:t xml:space="preserve"> </w:t>
      </w:r>
      <w:hyperlink r:id="rId53">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4"/>
    <w:bookmarkStart w:id="56" w:name="ref-Burkner2017"/>
    <w:p>
      <w:pPr>
        <w:pStyle w:val="Bibliography"/>
      </w:pPr>
      <w:r>
        <w:t xml:space="preserve">Bürkner, P.-C. (2017).</w:t>
      </w:r>
      <w:r>
        <w:t xml:space="preserve"> </w:t>
      </w:r>
      <w:hyperlink r:id="rId5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56"/>
    <w:bookmarkStart w:id="58" w:name="ref-Cere.etal2021"/>
    <w:p>
      <w:pPr>
        <w:pStyle w:val="Bibliography"/>
      </w:pPr>
      <w:r>
        <w:t xml:space="preserve">Céré, J., Montiglio, P.-O. &amp; Kelly, C.D. (2021).</w:t>
      </w:r>
      <w:r>
        <w:t xml:space="preserve"> </w:t>
      </w:r>
      <w:hyperlink r:id="rId57">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58"/>
    <w:bookmarkStart w:id="60" w:name="ref-Chang.etal2017"/>
    <w:p>
      <w:pPr>
        <w:pStyle w:val="Bibliography"/>
      </w:pPr>
      <w:r>
        <w:t xml:space="preserve">Chang, C., Teo, H.Y., Norma-Rashid, Y. &amp; Li, D. (2017).</w:t>
      </w:r>
      <w:r>
        <w:t xml:space="preserve"> </w:t>
      </w:r>
      <w:hyperlink r:id="rId59">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0"/>
    <w:bookmarkStart w:id="62" w:name="X8f96d1d7960a4ec81bae6d97ed75b01618a8636"/>
    <w:p>
      <w:pPr>
        <w:pStyle w:val="Bibliography"/>
      </w:pPr>
      <w:r>
        <w:t xml:space="preserve">Cleasby, I.R., Nakagawa, S. &amp; Schielzeth, H. (2015).</w:t>
      </w:r>
      <w:r>
        <w:t xml:space="preserve"> </w:t>
      </w:r>
      <w:hyperlink r:id="rId61">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2"/>
    <w:bookmarkStart w:id="6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4"/>
    <w:bookmarkStart w:id="66" w:name="ref-Davoren.etal2003"/>
    <w:p>
      <w:pPr>
        <w:pStyle w:val="Bibliography"/>
      </w:pPr>
      <w:r>
        <w:t xml:space="preserve">Davoren, G.K., Montevecchi, W.A. &amp; Anderson, J.T. (2003).</w:t>
      </w:r>
      <w:r>
        <w:t xml:space="preserve"> </w:t>
      </w:r>
      <w:hyperlink r:id="rId6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66"/>
    <w:bookmarkStart w:id="68" w:name="ref-Dingemanse.etal2022"/>
    <w:p>
      <w:pPr>
        <w:pStyle w:val="Bibliography"/>
      </w:pPr>
      <w:r>
        <w:t xml:space="preserve">Dingemanse, N.J., Hertel, A.G. &amp; Royauté, R. (2022).</w:t>
      </w:r>
      <w:r>
        <w:t xml:space="preserve"> </w:t>
      </w:r>
      <w:hyperlink r:id="rId67">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68"/>
    <w:bookmarkStart w:id="69"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69"/>
    <w:bookmarkStart w:id="71" w:name="ref-Dukas2019"/>
    <w:p>
      <w:pPr>
        <w:pStyle w:val="Bibliography"/>
      </w:pPr>
      <w:r>
        <w:t xml:space="preserve">Dukas, R. (2019).</w:t>
      </w:r>
      <w:r>
        <w:t xml:space="preserve"> </w:t>
      </w:r>
      <w:hyperlink r:id="rId70">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1"/>
    <w:bookmarkStart w:id="73" w:name="ref-Edwards.Jackson1994"/>
    <w:p>
      <w:pPr>
        <w:pStyle w:val="Bibliography"/>
      </w:pPr>
      <w:r>
        <w:t xml:space="preserve">Edwards, G.B. &amp; Jackson, R.R. (1994).</w:t>
      </w:r>
      <w:r>
        <w:t xml:space="preserve"> </w:t>
      </w:r>
      <w:hyperlink r:id="rId72">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3"/>
    <w:bookmarkStart w:id="75" w:name="ref-Estes.etal2003"/>
    <w:p>
      <w:pPr>
        <w:pStyle w:val="Bibliography"/>
      </w:pPr>
      <w:r>
        <w:t xml:space="preserve">Estes, J.A., Riedman, M.L., Staedler, M.M., Tinker, M.T. &amp; Lyon, B.E. (2003).</w:t>
      </w:r>
      <w:r>
        <w:t xml:space="preserve"> </w:t>
      </w:r>
      <w:hyperlink r:id="rId74">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5"/>
    <w:bookmarkStart w:id="77" w:name="ref-FraserFranco.etal2022"/>
    <w:p>
      <w:pPr>
        <w:pStyle w:val="Bibliography"/>
      </w:pPr>
      <w:r>
        <w:t xml:space="preserve">Fraser Franco, M., Santostefano, F., Kelly, C.D. &amp; Montiglio, P.-O. (2022).</w:t>
      </w:r>
      <w:r>
        <w:t xml:space="preserve"> </w:t>
      </w:r>
      <w:hyperlink r:id="rId76">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77"/>
    <w:bookmarkStart w:id="78"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78"/>
    <w:bookmarkStart w:id="80" w:name="ref-Griffen.etal2012"/>
    <w:p>
      <w:pPr>
        <w:pStyle w:val="Bibliography"/>
      </w:pPr>
      <w:r>
        <w:t xml:space="preserve">Griffen, B.D., Toscano, B.J. &amp; Gatto, J. (2012).</w:t>
      </w:r>
      <w:r>
        <w:t xml:space="preserve"> </w:t>
      </w:r>
      <w:hyperlink r:id="rId79">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0"/>
    <w:bookmarkStart w:id="82" w:name="ref-Heithaus.etal2018"/>
    <w:p>
      <w:pPr>
        <w:pStyle w:val="Bibliography"/>
      </w:pPr>
      <w:r>
        <w:t xml:space="preserve">Heithaus, M.R., Dill, L.M. &amp; Kiszka, J.J. (2018).</w:t>
      </w:r>
      <w:r>
        <w:t xml:space="preserve"> </w:t>
      </w:r>
      <w:hyperlink r:id="rId8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2"/>
    <w:bookmarkStart w:id="84" w:name="ref-Holm.etal2019"/>
    <w:p>
      <w:pPr>
        <w:pStyle w:val="Bibliography"/>
      </w:pPr>
      <w:r>
        <w:t xml:space="preserve">Holm, M.W., Rodríguez-Torres, R., Hansen, B.W. &amp; Almeda, R. (2019).</w:t>
      </w:r>
      <w:r>
        <w:t xml:space="preserve"> </w:t>
      </w:r>
      <w:hyperlink r:id="rId83">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4"/>
    <w:bookmarkStart w:id="86" w:name="ref-Holtmann.etal2017"/>
    <w:p>
      <w:pPr>
        <w:pStyle w:val="Bibliography"/>
      </w:pPr>
      <w:r>
        <w:t xml:space="preserve">Holtmann, B., Lagisz, M. &amp; Nakagawa, S. (2017).</w:t>
      </w:r>
      <w:r>
        <w:t xml:space="preserve"> </w:t>
      </w:r>
      <w:hyperlink r:id="rId85">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86"/>
    <w:bookmarkStart w:id="88" w:name="ref-Huey.Pianka1981"/>
    <w:p>
      <w:pPr>
        <w:pStyle w:val="Bibliography"/>
      </w:pPr>
      <w:r>
        <w:t xml:space="preserve">Huey, R.B. &amp; Pianka, E.R. (1981).</w:t>
      </w:r>
      <w:r>
        <w:t xml:space="preserve"> </w:t>
      </w:r>
      <w:hyperlink r:id="rId87">
        <w:r>
          <w:rPr>
            <w:rStyle w:val="Hyperlink"/>
          </w:rPr>
          <w:t xml:space="preserve">Ecological consequences of foraging mode</w:t>
        </w:r>
      </w:hyperlink>
      <w:r>
        <w:t xml:space="preserve">.</w:t>
      </w:r>
      <w:r>
        <w:t xml:space="preserve"> </w:t>
      </w:r>
      <w:r>
        <w:rPr>
          <w:iCs/>
          <w:i/>
        </w:rPr>
        <w:t xml:space="preserve">Ecology</w:t>
      </w:r>
      <w:r>
        <w:t xml:space="preserve">, 62, 991–999.</w:t>
      </w:r>
    </w:p>
    <w:bookmarkEnd w:id="88"/>
    <w:bookmarkStart w:id="90" w:name="ref-Ishii.Shimada2010"/>
    <w:p>
      <w:pPr>
        <w:pStyle w:val="Bibliography"/>
      </w:pPr>
      <w:r>
        <w:t xml:space="preserve">Ishii, Y. &amp; Shimada, M. (2010).</w:t>
      </w:r>
      <w:r>
        <w:t xml:space="preserve"> </w:t>
      </w:r>
      <w:hyperlink r:id="rId89">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90"/>
    <w:bookmarkStart w:id="92" w:name="ref-Karkarey.etal2017"/>
    <w:p>
      <w:pPr>
        <w:pStyle w:val="Bibliography"/>
      </w:pPr>
      <w:r>
        <w:t xml:space="preserve">Karkarey, R., Alcoverro, T., Kumar, S. &amp; Arthur, R. (2017).</w:t>
      </w:r>
      <w:r>
        <w:t xml:space="preserve"> </w:t>
      </w:r>
      <w:hyperlink r:id="rId91">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2"/>
    <w:bookmarkStart w:id="94" w:name="X861472cb300cb4fe47c34b2285e8585ed9d2165"/>
    <w:p>
      <w:pPr>
        <w:pStyle w:val="Bibliography"/>
      </w:pPr>
      <w:r>
        <w:t xml:space="preserve">Kernaléguen, L., Arnould, J.P.Y., Guinet, C. &amp; Cherel, Y. (2015).</w:t>
      </w:r>
      <w:r>
        <w:t xml:space="preserve"> </w:t>
      </w:r>
      <w:hyperlink r:id="rId9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4"/>
    <w:bookmarkStart w:id="96" w:name="ref-Kobler.etal2009"/>
    <w:p>
      <w:pPr>
        <w:pStyle w:val="Bibliography"/>
      </w:pPr>
      <w:r>
        <w:t xml:space="preserve">Kobler, A., Klefoth, T., Mehner, T. &amp; Arlinghaus, R. (2009).</w:t>
      </w:r>
      <w:r>
        <w:t xml:space="preserve"> </w:t>
      </w:r>
      <w:hyperlink r:id="rId9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96"/>
    <w:bookmarkStart w:id="98" w:name="ref-leeDoubleHierarchicalGeneralized2006"/>
    <w:p>
      <w:pPr>
        <w:pStyle w:val="Bibliography"/>
      </w:pPr>
      <w:r>
        <w:t xml:space="preserve">Lee, Y. &amp; Nelder, J.A. (2006).</w:t>
      </w:r>
      <w:r>
        <w:t xml:space="preserve"> </w:t>
      </w:r>
      <w:hyperlink r:id="rId97">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98"/>
    <w:bookmarkStart w:id="100" w:name="X6c7e3aeb277c8347e9da059dcf5014bc78fbbe9"/>
    <w:p>
      <w:pPr>
        <w:pStyle w:val="Bibliography"/>
      </w:pPr>
      <w:r>
        <w:t xml:space="preserve">MacDonald, K. (2007).</w:t>
      </w:r>
      <w:r>
        <w:t xml:space="preserve"> </w:t>
      </w:r>
      <w:hyperlink r:id="rId99">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100"/>
    <w:bookmarkStart w:id="102" w:name="ref-Manlick.etal2021"/>
    <w:p>
      <w:pPr>
        <w:pStyle w:val="Bibliography"/>
      </w:pPr>
      <w:r>
        <w:t xml:space="preserve">Manlick, P.J., Maldonado, K. &amp; Newsome, S.D. (2021).</w:t>
      </w:r>
      <w:r>
        <w:t xml:space="preserve"> </w:t>
      </w:r>
      <w:hyperlink r:id="rId101">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2"/>
    <w:bookmarkStart w:id="104" w:name="ref-Matsumura.Miyatake2022a"/>
    <w:p>
      <w:pPr>
        <w:pStyle w:val="Bibliography"/>
      </w:pPr>
      <w:r>
        <w:t xml:space="preserve">Matsumura, K. &amp; Miyatake, T. (2022).</w:t>
      </w:r>
      <w:r>
        <w:t xml:space="preserve"> </w:t>
      </w:r>
      <w:hyperlink r:id="rId103">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4"/>
    <w:bookmarkStart w:id="106" w:name="ref-Mery.Burns2010"/>
    <w:p>
      <w:pPr>
        <w:pStyle w:val="Bibliography"/>
      </w:pPr>
      <w:r>
        <w:t xml:space="preserve">Mery, F. &amp; Burns, J.G. (2010).</w:t>
      </w:r>
      <w:r>
        <w:t xml:space="preserve"> </w:t>
      </w:r>
      <w:hyperlink r:id="rId105">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06"/>
    <w:bookmarkStart w:id="108" w:name="ref-Michalko.etal2021"/>
    <w:p>
      <w:pPr>
        <w:pStyle w:val="Bibliography"/>
      </w:pPr>
      <w:r>
        <w:t xml:space="preserve">Michalko, R., Gibbons, A.T., Goodacre, S.L. &amp; Pekár, S. (2021).</w:t>
      </w:r>
      <w:r>
        <w:t xml:space="preserve"> </w:t>
      </w:r>
      <w:hyperlink r:id="rId107">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08"/>
    <w:bookmarkStart w:id="110" w:name="ref-Michalko.Pekar2016"/>
    <w:p>
      <w:pPr>
        <w:pStyle w:val="Bibliography"/>
      </w:pPr>
      <w:r>
        <w:t xml:space="preserve">Michalko, R. &amp; Pekár, S. (2016).</w:t>
      </w:r>
      <w:r>
        <w:t xml:space="preserve"> </w:t>
      </w:r>
      <w:hyperlink r:id="rId109">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10"/>
    <w:bookmarkStart w:id="112" w:name="ref-Mitchell.etal2016a"/>
    <w:p>
      <w:pPr>
        <w:pStyle w:val="Bibliography"/>
      </w:pPr>
      <w:r>
        <w:t xml:space="preserve">Mitchell, D.J., Fanson, B.G., Beckmann, C. &amp; Biro, P.A. (2016).</w:t>
      </w:r>
      <w:r>
        <w:t xml:space="preserve"> </w:t>
      </w:r>
      <w:hyperlink r:id="rId111">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2"/>
    <w:bookmarkStart w:id="114" w:name="ref-Moran.etal2017"/>
    <w:p>
      <w:pPr>
        <w:pStyle w:val="Bibliography"/>
      </w:pPr>
      <w:r>
        <w:t xml:space="preserve">Moran, N.P., Wong, B.B.M. &amp; Thompson, R.M. (2017).</w:t>
      </w:r>
      <w:r>
        <w:t xml:space="preserve"> </w:t>
      </w:r>
      <w:hyperlink r:id="rId113">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4"/>
    <w:bookmarkStart w:id="116" w:name="ref-Morse2000"/>
    <w:p>
      <w:pPr>
        <w:pStyle w:val="Bibliography"/>
      </w:pPr>
      <w:r>
        <w:t xml:space="preserve">Morse, D.H. (2000).</w:t>
      </w:r>
      <w:r>
        <w:t xml:space="preserve"> </w:t>
      </w:r>
      <w:hyperlink r:id="rId115">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16"/>
    <w:bookmarkStart w:id="118" w:name="ref-ODea.etal2022"/>
    <w:p>
      <w:pPr>
        <w:pStyle w:val="Bibliography"/>
      </w:pPr>
      <w:r>
        <w:t xml:space="preserve">O’Dea, R.E., Noble, D.W.A. &amp; Nakagawa, S. (2022).</w:t>
      </w:r>
      <w:r>
        <w:t xml:space="preserve"> </w:t>
      </w:r>
      <w:hyperlink r:id="rId117">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18"/>
    <w:bookmarkStart w:id="120" w:name="ref-Patrick.Weimerskirch2014a"/>
    <w:p>
      <w:pPr>
        <w:pStyle w:val="Bibliography"/>
      </w:pPr>
      <w:r>
        <w:t xml:space="preserve">Patrick, S.C. &amp; Weimerskirch, H. (2014a).</w:t>
      </w:r>
      <w:r>
        <w:t xml:space="preserve"> </w:t>
      </w:r>
      <w:hyperlink r:id="rId119">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20"/>
    <w:bookmarkStart w:id="122" w:name="ref-Patrick.Weimerskirch2014"/>
    <w:p>
      <w:pPr>
        <w:pStyle w:val="Bibliography"/>
      </w:pPr>
      <w:r>
        <w:t xml:space="preserve">Patrick, S.C. &amp; Weimerskirch, H. (2014b).</w:t>
      </w:r>
      <w:r>
        <w:t xml:space="preserve"> </w:t>
      </w:r>
      <w:hyperlink r:id="rId121">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2"/>
    <w:bookmarkStart w:id="124" w:name="ref-Paull.etal2012"/>
    <w:p>
      <w:pPr>
        <w:pStyle w:val="Bibliography"/>
      </w:pPr>
      <w:r>
        <w:t xml:space="preserve">Paull, J.S., Martin, R.A. &amp; Pfennig, D.W. (2012).</w:t>
      </w:r>
      <w:r>
        <w:t xml:space="preserve"> </w:t>
      </w:r>
      <w:hyperlink r:id="rId123">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4"/>
    <w:bookmarkStart w:id="126" w:name="ref-Pedersen.etal2019"/>
    <w:p>
      <w:pPr>
        <w:pStyle w:val="Bibliography"/>
      </w:pPr>
      <w:r>
        <w:t xml:space="preserve">Pedersen, E.J., Miller, D.L., Simpson, G.L. &amp; Ross, N. (2019).</w:t>
      </w:r>
      <w:r>
        <w:t xml:space="preserve"> </w:t>
      </w:r>
      <w:hyperlink r:id="rId125">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26"/>
    <w:bookmarkStart w:id="128" w:name="ref-Phillips.etal2017"/>
    <w:p>
      <w:pPr>
        <w:pStyle w:val="Bibliography"/>
      </w:pPr>
      <w:r>
        <w:t xml:space="preserve">Phillips, R.A., Lewis, S., González-Solís, J. &amp; Daunt, F. (2017).</w:t>
      </w:r>
      <w:r>
        <w:t xml:space="preserve"> </w:t>
      </w:r>
      <w:hyperlink r:id="rId127">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28"/>
    <w:bookmarkStart w:id="130" w:name="ref-Piironen.Vehtari2017"/>
    <w:p>
      <w:pPr>
        <w:pStyle w:val="Bibliography"/>
      </w:pPr>
      <w:r>
        <w:t xml:space="preserve">Piironen, J. &amp; Vehtari, A. (2017).</w:t>
      </w:r>
      <w:r>
        <w:t xml:space="preserve"> </w:t>
      </w:r>
      <w:hyperlink r:id="rId129">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30"/>
    <w:bookmarkStart w:id="132" w:name="ref-Potier.etal2015"/>
    <w:p>
      <w:pPr>
        <w:pStyle w:val="Bibliography"/>
      </w:pPr>
      <w:r>
        <w:t xml:space="preserve">Potier, S., Carpentier, A., Grémillet, D., Leroy, B. &amp; Lescroël, A. (2015).</w:t>
      </w:r>
      <w:r>
        <w:t xml:space="preserve"> </w:t>
      </w:r>
      <w:hyperlink r:id="rId131">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2"/>
    <w:bookmarkStart w:id="134" w:name="ref-Reid.etal2010"/>
    <w:p>
      <w:pPr>
        <w:pStyle w:val="Bibliography"/>
      </w:pPr>
      <w:r>
        <w:t xml:space="preserve">Reid, A., Seebacher, F. &amp; Ward, A. (2010).</w:t>
      </w:r>
      <w:r>
        <w:t xml:space="preserve"> </w:t>
      </w:r>
      <w:hyperlink r:id="rId133">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4"/>
    <w:bookmarkStart w:id="136" w:name="ref-Santoro.etal2019"/>
    <w:p>
      <w:pPr>
        <w:pStyle w:val="Bibliography"/>
      </w:pPr>
      <w:r>
        <w:t xml:space="preserve">Santoro, D., Hartley, S. &amp; Lester, P.J. (2019).</w:t>
      </w:r>
      <w:r>
        <w:t xml:space="preserve"> </w:t>
      </w:r>
      <w:hyperlink r:id="rId135">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36"/>
    <w:bookmarkStart w:id="138" w:name="ref-Snell-Rood2013"/>
    <w:p>
      <w:pPr>
        <w:pStyle w:val="Bibliography"/>
      </w:pPr>
      <w:r>
        <w:t xml:space="preserve">Snell-Rood, E.C. (2013).</w:t>
      </w:r>
      <w:r>
        <w:t xml:space="preserve"> </w:t>
      </w:r>
      <w:hyperlink r:id="rId137">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38"/>
    <w:bookmarkStart w:id="140" w:name="ref-Tinker.etal2008"/>
    <w:p>
      <w:pPr>
        <w:pStyle w:val="Bibliography"/>
      </w:pPr>
      <w:r>
        <w:t xml:space="preserve">Tinker, M.T., Bentall, G. &amp; Estes, J.A. (2008).</w:t>
      </w:r>
      <w:r>
        <w:t xml:space="preserve"> </w:t>
      </w:r>
      <w:hyperlink r:id="rId139">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40"/>
    <w:bookmarkStart w:id="14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1"/>
    <w:bookmarkStart w:id="143" w:name="Xa9f710354cc886f3275f2724e3e26c0203e8293"/>
    <w:p>
      <w:pPr>
        <w:pStyle w:val="Bibliography"/>
      </w:pPr>
      <w:r>
        <w:t xml:space="preserve">Toscano, B.J., Gownaris, N.J., Heerhartz, S.M. &amp; Monaco, C.J. (2016).</w:t>
      </w:r>
      <w:r>
        <w:t xml:space="preserve"> </w:t>
      </w:r>
      <w:hyperlink r:id="rId14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3"/>
    <w:bookmarkStart w:id="145" w:name="X2d34a8037745a9f1e9ed0eb47d31f23e92657a6"/>
    <w:p>
      <w:pPr>
        <w:pStyle w:val="Bibliography"/>
      </w:pPr>
      <w:r>
        <w:t xml:space="preserve">Toscano, B.J. &amp; Griffen, B.D. (2014).</w:t>
      </w:r>
      <w:r>
        <w:t xml:space="preserve"> </w:t>
      </w:r>
      <w:hyperlink r:id="rId144">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5"/>
    <w:bookmarkStart w:id="147" w:name="ref-vandenBosch.etal2019"/>
    <w:p>
      <w:pPr>
        <w:pStyle w:val="Bibliography"/>
      </w:pPr>
      <w:r>
        <w:t xml:space="preserve">van den Bosch, M., Baert, J.M., Müller, W., Lens, L. &amp; Stienen, E.W.M. (2019).</w:t>
      </w:r>
      <w:r>
        <w:t xml:space="preserve"> </w:t>
      </w:r>
      <w:hyperlink r:id="rId14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47"/>
    <w:bookmarkStart w:id="149" w:name="ref-Vehtari.etal2017"/>
    <w:p>
      <w:pPr>
        <w:pStyle w:val="Bibliography"/>
      </w:pPr>
      <w:r>
        <w:t xml:space="preserve">Vehtari, A., Gelman, A. &amp; Gabry, J. (2017).</w:t>
      </w:r>
      <w:r>
        <w:t xml:space="preserve"> </w:t>
      </w:r>
      <w:hyperlink r:id="rId148">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49"/>
    <w:bookmarkStart w:id="151" w:name="ref-Vehtari.etal2022"/>
    <w:p>
      <w:pPr>
        <w:pStyle w:val="Bibliography"/>
      </w:pPr>
      <w:r>
        <w:t xml:space="preserve">Vehtari, A., Simpson, D., Gelman, A., Yao, Y. &amp; Gabry, J. (2022).</w:t>
      </w:r>
      <w:r>
        <w:t xml:space="preserve"> </w:t>
      </w:r>
      <w:hyperlink r:id="rId150">
        <w:r>
          <w:rPr>
            <w:rStyle w:val="Hyperlink"/>
          </w:rPr>
          <w:t xml:space="preserve">Pareto</w:t>
        </w:r>
        <w:r>
          <w:rPr>
            <w:rStyle w:val="Hyperlink"/>
          </w:rPr>
          <w:t xml:space="preserve"> </w:t>
        </w:r>
        <w:r>
          <w:rPr>
            <w:rStyle w:val="Hyperlink"/>
          </w:rPr>
          <w:t xml:space="preserve">Smoothed Importance Sampling</w:t>
        </w:r>
      </w:hyperlink>
      <w:r>
        <w:t xml:space="preserve">.</w:t>
      </w:r>
    </w:p>
    <w:bookmarkEnd w:id="151"/>
    <w:bookmarkStart w:id="153" w:name="ref-viaAdaptivePhenotypicPlasticity1995"/>
    <w:p>
      <w:pPr>
        <w:pStyle w:val="Bibliography"/>
      </w:pPr>
      <w:r>
        <w:t xml:space="preserve">Via, S., Gomulkiewicz, R., De Jong, G., Scheiner, S.M., Schlichting, C.D. &amp; Van Tienderen, P.H. (1995).</w:t>
      </w:r>
      <w:r>
        <w:t xml:space="preserve"> </w:t>
      </w:r>
      <w:hyperlink r:id="rId152">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3"/>
    <w:bookmarkStart w:id="155" w:name="ref-Via.Lande1985"/>
    <w:p>
      <w:pPr>
        <w:pStyle w:val="Bibliography"/>
      </w:pPr>
      <w:r>
        <w:t xml:space="preserve">Via, S. &amp; Lande, R. (1985).</w:t>
      </w:r>
      <w:r>
        <w:t xml:space="preserve"> </w:t>
      </w:r>
      <w:hyperlink r:id="rId15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5"/>
    <w:bookmarkStart w:id="157" w:name="ref-Weimerskirch2007"/>
    <w:p>
      <w:pPr>
        <w:pStyle w:val="Bibliography"/>
      </w:pPr>
      <w:r>
        <w:t xml:space="preserve">Weimerskirch, H. (2007).</w:t>
      </w:r>
      <w:r>
        <w:t xml:space="preserve"> </w:t>
      </w:r>
      <w:hyperlink r:id="rId156">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57"/>
    <w:bookmarkStart w:id="159" w:name="ref-westneatBiologyHiddenResidual2014"/>
    <w:p>
      <w:pPr>
        <w:pStyle w:val="Bibliography"/>
      </w:pPr>
      <w:r>
        <w:t xml:space="preserve">Westneat, D.F., Wright, J. &amp; Dingemanse, N.J. (2014).</w:t>
      </w:r>
      <w:r>
        <w:t xml:space="preserve"> </w:t>
      </w:r>
      <w:hyperlink r:id="rId158">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59"/>
    <w:bookmarkStart w:id="161" w:name="ref-Wilson-Rankin2015"/>
    <w:p>
      <w:pPr>
        <w:pStyle w:val="Bibliography"/>
      </w:pPr>
      <w:r>
        <w:t xml:space="preserve">Wilson-Rankin, E.E. (2015).</w:t>
      </w:r>
      <w:r>
        <w:t xml:space="preserve"> </w:t>
      </w:r>
      <w:hyperlink r:id="rId160">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1"/>
    <w:bookmarkStart w:id="163" w:name="ref-Woo.etal2008"/>
    <w:p>
      <w:pPr>
        <w:pStyle w:val="Bibliography"/>
      </w:pPr>
      <w:r>
        <w:t xml:space="preserve">Woo, K.J., Elliott, K.H., Davidson, M., Gaston, A.J. &amp; Davoren, G.K. (2008).</w:t>
      </w:r>
      <w:r>
        <w:t xml:space="preserve"> </w:t>
      </w:r>
      <w:hyperlink r:id="rId162">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3"/>
    <w:bookmarkEnd w:id="164"/>
    <w:bookmarkEnd w:id="16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13501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860B53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126F7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0ECD5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FEA9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BD62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204D19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F4AE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CAF25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8492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648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15" Target="https://doi.org/10.1006/anbe.2000.1546" TargetMode="External" /><Relationship Type="http://schemas.openxmlformats.org/officeDocument/2006/relationships/hyperlink" Id="rId160" Target="https://doi.org/10.1007/s00265-014-1861-1" TargetMode="External" /><Relationship Type="http://schemas.openxmlformats.org/officeDocument/2006/relationships/hyperlink" Id="rId53" Target="https://doi.org/10.1007/s00265-020-02833-0" TargetMode="External" /><Relationship Type="http://schemas.openxmlformats.org/officeDocument/2006/relationships/hyperlink" Id="rId95" Target="https://doi.org/10.1007/s00442-009-1415-9" TargetMode="External" /><Relationship Type="http://schemas.openxmlformats.org/officeDocument/2006/relationships/hyperlink" Id="rId109" Target="https://doi.org/10.1007/s00442-016-3631-4" TargetMode="External" /><Relationship Type="http://schemas.openxmlformats.org/officeDocument/2006/relationships/hyperlink" Id="rId142" Target="https://doi.org/10.1007/s00442-016-3648-8" TargetMode="External" /><Relationship Type="http://schemas.openxmlformats.org/officeDocument/2006/relationships/hyperlink" Id="rId89" Target="https://doi.org/10.1007/s10144-009-0185-x" TargetMode="External" /><Relationship Type="http://schemas.openxmlformats.org/officeDocument/2006/relationships/hyperlink" Id="rId105" Target="https://doi.org/10.1007/s10682-009-9336-y" TargetMode="External" /><Relationship Type="http://schemas.openxmlformats.org/officeDocument/2006/relationships/hyperlink" Id="rId129" Target="https://doi.org/10.1007/s11222-016-9649-y" TargetMode="External" /><Relationship Type="http://schemas.openxmlformats.org/officeDocument/2006/relationships/hyperlink" Id="rId148" Target="https://doi.org/10.1007/s11222-016-9696-4" TargetMode="External" /><Relationship Type="http://schemas.openxmlformats.org/officeDocument/2006/relationships/hyperlink" Id="rId99" Target="https://doi.org/10.1007/s12110-007-9019-8" TargetMode="External" /><Relationship Type="http://schemas.openxmlformats.org/officeDocument/2006/relationships/hyperlink" Id="rId81" Target="https://doi.org/10.1016/B978-0-12-804327-1.00126-6" TargetMode="External" /><Relationship Type="http://schemas.openxmlformats.org/officeDocument/2006/relationships/hyperlink" Id="rId152" Target="https://doi.org/10.1016/S0169-5347(00)89061-8" TargetMode="External" /><Relationship Type="http://schemas.openxmlformats.org/officeDocument/2006/relationships/hyperlink" Id="rId137" Target="https://doi.org/10.1016/j.anbehav.2012.12.031" TargetMode="External" /><Relationship Type="http://schemas.openxmlformats.org/officeDocument/2006/relationships/hyperlink" Id="rId131" Target="https://doi.org/10.1016/j.anbehav.2015.02.008" TargetMode="External" /><Relationship Type="http://schemas.openxmlformats.org/officeDocument/2006/relationships/hyperlink" Id="rId91" Target="https://doi.org/10.1016/j.anbehav.2017.07.010" TargetMode="External" /><Relationship Type="http://schemas.openxmlformats.org/officeDocument/2006/relationships/hyperlink" Id="rId70" Target="https://doi.org/10.1016/j.anbehav.2018.05.010" TargetMode="External" /><Relationship Type="http://schemas.openxmlformats.org/officeDocument/2006/relationships/hyperlink" Id="rId57" Target="https://doi.org/10.1016/j.anbehav.2021.06.010" TargetMode="External" /><Relationship Type="http://schemas.openxmlformats.org/officeDocument/2006/relationships/hyperlink" Id="rId156" Target="https://doi.org/10.1016/j.dsr2.2006.11.013" TargetMode="External" /><Relationship Type="http://schemas.openxmlformats.org/officeDocument/2006/relationships/hyperlink" Id="rId83" Target="https://doi.org/10.1016/j.jembe.2018.11.002" TargetMode="External" /><Relationship Type="http://schemas.openxmlformats.org/officeDocument/2006/relationships/hyperlink" Id="rId135" Target="https://doi.org/10.1038/s41598-019-41791-0" TargetMode="External" /><Relationship Type="http://schemas.openxmlformats.org/officeDocument/2006/relationships/hyperlink" Id="rId59" Target="https://doi.org/10.1038/srep40734" TargetMode="External" /><Relationship Type="http://schemas.openxmlformats.org/officeDocument/2006/relationships/hyperlink" Id="rId74" Target="https://doi.org/10.1046/j.1365-2656.2003.00690.x" TargetMode="External" /><Relationship Type="http://schemas.openxmlformats.org/officeDocument/2006/relationships/hyperlink" Id="rId139" Target="https://doi.org/10.1073/pnas.0709263105" TargetMode="External" /><Relationship Type="http://schemas.openxmlformats.org/officeDocument/2006/relationships/hyperlink" Id="rId72" Target="https://doi.org/10.1080/03014223.1994.9517994" TargetMode="External" /><Relationship Type="http://schemas.openxmlformats.org/officeDocument/2006/relationships/hyperlink" Id="rId107" Target="https://doi.org/10.1093/beheco/araa123" TargetMode="External" /><Relationship Type="http://schemas.openxmlformats.org/officeDocument/2006/relationships/hyperlink" Id="rId67" Target="https://doi.org/10.1093/beheco/arac006" TargetMode="External" /><Relationship Type="http://schemas.openxmlformats.org/officeDocument/2006/relationships/hyperlink" Id="rId76" Target="https://doi.org/10.1093/beheco/arac063" TargetMode="External" /><Relationship Type="http://schemas.openxmlformats.org/officeDocument/2006/relationships/hyperlink" Id="rId146" Target="https://doi.org/10.1093/beheco/arz016" TargetMode="External" /><Relationship Type="http://schemas.openxmlformats.org/officeDocument/2006/relationships/hyperlink" Id="rId119" Target="https://doi.org/10.1098/rsbl.2014.0630" TargetMode="External" /><Relationship Type="http://schemas.openxmlformats.org/officeDocument/2006/relationships/hyperlink" Id="rId111" Target="https://doi.org/10.1098/rsos.160352" TargetMode="External" /><Relationship Type="http://schemas.openxmlformats.org/officeDocument/2006/relationships/hyperlink" Id="rId85" Target="https://doi.org/10.1111/1365-2435.12779" TargetMode="External" /><Relationship Type="http://schemas.openxmlformats.org/officeDocument/2006/relationships/hyperlink" Id="rId144" Target="https://doi.org/10.1111/1365-2656.12236" TargetMode="External" /><Relationship Type="http://schemas.openxmlformats.org/officeDocument/2006/relationships/hyperlink" Id="rId93" Target="https://doi.org/10.1111/1365-2656.12347" TargetMode="External" /><Relationship Type="http://schemas.openxmlformats.org/officeDocument/2006/relationships/hyperlink" Id="rId101" Target="https://doi.org/10.1111/1365-2656.13583" TargetMode="External" /><Relationship Type="http://schemas.openxmlformats.org/officeDocument/2006/relationships/hyperlink" Id="rId61" Target="https://doi.org/10.1111/2041-210X.12281" TargetMode="External" /><Relationship Type="http://schemas.openxmlformats.org/officeDocument/2006/relationships/hyperlink" Id="rId117" Target="https://doi.org/10.1111/2041-210X.13755" TargetMode="External" /><Relationship Type="http://schemas.openxmlformats.org/officeDocument/2006/relationships/hyperlink" Id="rId158" Target="https://doi.org/10.1111/brv.12131" TargetMode="External" /><Relationship Type="http://schemas.openxmlformats.org/officeDocument/2006/relationships/hyperlink" Id="rId63" Target="https://doi.org/10.1111/ele.12970" TargetMode="External" /><Relationship Type="http://schemas.openxmlformats.org/officeDocument/2006/relationships/hyperlink" Id="rId103" Target="https://doi.org/10.1111/eth.13272" TargetMode="External" /><Relationship Type="http://schemas.openxmlformats.org/officeDocument/2006/relationships/hyperlink" Id="rId123" Target="https://doi.org/10.1111/j.1095-8312.2012.01982.x" TargetMode="External" /><Relationship Type="http://schemas.openxmlformats.org/officeDocument/2006/relationships/hyperlink" Id="rId162" Target="https://doi.org/10.1111/j.1365-2656.2008.01429.x" TargetMode="External" /><Relationship Type="http://schemas.openxmlformats.org/officeDocument/2006/relationships/hyperlink" Id="rId51" Target="https://doi.org/10.1111/j.1461-0248.2011.01662.x" TargetMode="External" /><Relationship Type="http://schemas.openxmlformats.org/officeDocument/2006/relationships/hyperlink" Id="rId97" Target="https://doi.org/10.1111/j.1467-9876.2006.00538.x" TargetMode="External" /><Relationship Type="http://schemas.openxmlformats.org/officeDocument/2006/relationships/hyperlink" Id="rId154" Target="https://doi.org/10.1111/j.1558-5646.1985.tb00391.x" TargetMode="External" /><Relationship Type="http://schemas.openxmlformats.org/officeDocument/2006/relationships/hyperlink" Id="rId113" Target="https://doi.org/10.1111/oik.03642" TargetMode="External" /><Relationship Type="http://schemas.openxmlformats.org/officeDocument/2006/relationships/hyperlink" Id="rId133" Target="https://doi.org/10.1163/000579509X12512871386137" TargetMode="External" /><Relationship Type="http://schemas.openxmlformats.org/officeDocument/2006/relationships/hyperlink" Id="rId121" Target="https://doi.org/10.1371/journal.pone.0087269" TargetMode="External" /><Relationship Type="http://schemas.openxmlformats.org/officeDocument/2006/relationships/hyperlink" Id="rId55" Target="https://doi.org/10.18637/jss.v080.i01" TargetMode="External" /><Relationship Type="http://schemas.openxmlformats.org/officeDocument/2006/relationships/hyperlink" Id="rId65" Target="https://doi.org/10.1890/02-0208" TargetMode="External" /><Relationship Type="http://schemas.openxmlformats.org/officeDocument/2006/relationships/hyperlink" Id="rId79" Target="https://doi.org/10.1890/11-2153.1" TargetMode="External" /><Relationship Type="http://schemas.openxmlformats.org/officeDocument/2006/relationships/hyperlink" Id="rId87" Target="https://doi.org/10.2307/1936998" TargetMode="External" /><Relationship Type="http://schemas.openxmlformats.org/officeDocument/2006/relationships/hyperlink" Id="rId127" Target="https://doi.org/10.3354/meps12217" TargetMode="External" /><Relationship Type="http://schemas.openxmlformats.org/officeDocument/2006/relationships/hyperlink" Id="rId150" Target="https://doi.org/10.48550/arXiv.1507.02646" TargetMode="External" /><Relationship Type="http://schemas.openxmlformats.org/officeDocument/2006/relationships/hyperlink" Id="rId125"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2022-12-13T20:08:20Z</dcterms:created>
  <dcterms:modified xsi:type="dcterms:W3CDTF">2022-12-13T20:08:20Z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