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6.png" ContentType="image/png"/>
  <Override PartName="/word/media/rId209.png" ContentType="image/png"/>
  <Override PartName="/word/media/rId212.png" ContentType="image/png"/>
  <Override PartName="/word/media/rId21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in</w:t>
      </w:r>
      <w:r>
        <w:t xml:space="preserve"> </w:t>
      </w:r>
      <w:r>
        <w:t xml:space="preserve">a</w:t>
      </w:r>
      <w:r>
        <w:t xml:space="preserve"> </w:t>
      </w:r>
      <w:r>
        <w:t xml:space="preserve">virtual</w:t>
      </w:r>
      <w:r>
        <w:t xml:space="preserve"> </w:t>
      </w:r>
      <w:r>
        <w:t xml:space="preserve">predator-prey</w:t>
      </w:r>
      <w:r>
        <w:t xml:space="preserve"> </w:t>
      </w:r>
      <w:r>
        <w:t xml:space="preserve">system</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bookmarkStart w:id="22" w:name="abstract"/>
    <w:p>
      <w:pPr>
        <w:pStyle w:val="Titre1"/>
      </w:pPr>
      <w:r>
        <w:t xml:space="preserve">ABSTRACT</w:t>
      </w:r>
    </w:p>
    <w:p>
      <w:pPr>
        <w:pStyle w:val="FirstParagraph"/>
      </w:pPr>
      <w:r>
        <w:t xml:space="preserve">The capacity of predators to match their tactic to the behaviour of their prey is expected to drive the outcome of predator-prey interactions. To do so, predators need to practice their tactics extensively to develop the skills and expertise to successfully hunt their prey, which may result in individual foraging specialization. Yet, there are very limited empirical assessments showing links between experience, foraging specialization, and performance at the individual level, due to the numerous challenges of monitoring direct interactions in the wild.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 Our results show that predators optimized prey consumption as they gained experience. Prey behaviour was an important mediator of this relationship, which also drove individual differences in the development of expertise. With experience, differences among individuals in foraging specialization increased, as individual predators became either specialist or flexible foragers. Yet, many individuals remained specialists throughout the study period. Moreover, the matching between the predator’s strategies (i.e. flexible or specialized foraging) and the prey was not strong, suggesting that part of the population did not match their tactic to the prey. This individual heterogeneity coincided with differences among individuals in success through time. While flexible foragers performed slightly less than specialist foragers, both achieved similar success overall. Our observations suggest that individual differences in behavioural change with experience may drive among individual differences in hunting tactics,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Some studies have found greater success for individuals specializing on a foraging tactic</w:t>
      </w:r>
      <w:r>
        <w:t xml:space="preserve"> </w:t>
      </w:r>
      <w:r>
        <w:t xml:space="preserve">(Patrick and Weimerskirch 2014b, Pintor et al. 2014, van den Bosch et al. 2019)</w:t>
      </w:r>
      <w:r>
        <w:t xml:space="preserve"> </w:t>
      </w:r>
      <w:r>
        <w:t xml:space="preserve">while others have found that individuals using flexible foraging tactics have greater success</w:t>
      </w:r>
      <w:r>
        <w:t xml:space="preserve"> </w:t>
      </w:r>
      <w:r>
        <w:t xml:space="preserve">(Paull et al. 2012, Santoro et al. 2019, Manlick et al. 2021)</w:t>
      </w:r>
      <w:r>
        <w:t xml:space="preserve">. This discrepancy may in part be due to the limited information we have on the ecological contexts favoring individual specialization over flexibility. However, many studies also show that both type of foragers can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Uncovering the role of experience in shaping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However, if individuals encounter similar groups of prey, then the efficiency of a specific tactic should increase with experience and everyone should instead specialize in their speed. In both scenarios, among individual variation in IIV (i.e. individual differences in specialization) would be low across experience, whereas the population variance would either increase (flexibility) or decrease (specialization). Alternatively, both processes may operate at the same time if behavioural interactions with the prey vary among predators, such that among individual variation in IIV would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(Operating system: CentOS Linux 7), a computer cluster maintained by the Digital Research Alliance of Canada (</w:t>
      </w:r>
      <w:hyperlink r:id="rId27">
        <w:r>
          <w:rPr>
            <w:rStyle w:val="Lienhypertexte"/>
          </w:rPr>
          <w:t xml:space="preserve">https://docs.alliancecan.ca/wiki/Cedar</w:t>
        </w:r>
      </w:hyperlink>
      <w:r>
        <w:t xml:space="preserve">). Each required 64GB of RAM with 48 cores to compile within 5 days.</w:t>
      </w:r>
    </w:p>
    <w:bookmarkEnd w:id="28"/>
    <w:bookmarkStart w:id="29" w:name="development-of-expertise"/>
    <w:p>
      <w:pPr>
        <w:pStyle w:val="Titre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Titre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For each experience level,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Fixed and random effect structure were trait-specific and the same for all experience levels. The predator and the prey speed included a mean and a dispersion part.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Corpsdetexte"/>
      </w:pPr>
      <w:r>
        <w:t xml:space="preserve">The model simultaneously estimated three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by modeling the residuals, is among individual variation in intra-individual variation (IIV). This allows to test if predators do not experience the same degree of prey heterogeneity and if they differ in individual specialization. A general intercept is also fitted on both the mean and dispersion part of the model, providing population-level estimates of the aforementioned parameters.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j</m:t>
        </m:r>
      </m:oMath>
      <w:r>
        <w:t xml:space="preserve"> </w:t>
      </w:r>
      <w:r>
        <w:t xml:space="preserve">is the index of the experience levels. The model is fitted on the three experience levels denoted by</w:t>
      </w:r>
      <w:r>
        <w:t xml:space="preserve"> </w:t>
      </w:r>
      <m:oMath>
        <m:sSub>
          <m:e>
            <m:r>
              <m:t>T</m:t>
            </m:r>
          </m:e>
          <m:sub>
            <m:r>
              <m:t>j</m:t>
            </m:r>
          </m:sub>
        </m:sSub>
      </m:oMath>
      <w:r>
        <w:t xml:space="preserve">, where</w:t>
      </w:r>
      <w:r>
        <w:t xml:space="preserve"> </w:t>
      </w:r>
      <m:oMath>
        <m:r>
          <m:t>j</m:t>
        </m:r>
      </m:oMath>
      <w:r>
        <w:t xml:space="preserve"> </w:t>
      </w:r>
      <w:r>
        <w:t xml:space="preserve">ranges from 1 to 3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For all experience levels of the predator and prey speed,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All the individual identity random effects (mean and dispersion) across all response variables and experience levels are indexed in vector</w:t>
      </w:r>
      <w:r>
        <w:t xml:space="preserve"> </w:t>
      </w:r>
      <m:oMath>
        <m:r>
          <m:t>u</m:t>
        </m:r>
      </m:oMath>
      <w:r>
        <w:t xml:space="preserve">. The</w:t>
      </w:r>
      <w:r>
        <w:t xml:space="preserve"> </w:t>
      </w:r>
      <m:oMath>
        <m:r>
          <m:t>u</m:t>
        </m:r>
      </m:oMath>
      <w:r>
        <w:t xml:space="preserve"> </w:t>
      </w:r>
      <w:r>
        <w:t xml:space="preserve">vector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 </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Titre1"/>
      </w:pPr>
      <w:r>
        <w:t xml:space="preserve">RESULTS</w:t>
      </w:r>
    </w:p>
    <w:bookmarkStart w:id="34" w:name="development-of-expertise-1"/>
    <w:p>
      <w:pPr>
        <w:pStyle w:val="Titre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38% increase in the probability of consuming all prey for the average individual between the first and the ~330</w:t>
      </w:r>
      <m:oMath>
        <m:sSup>
          <m:e>
            <m:r>
              <m:t>​</m:t>
            </m:r>
          </m:e>
          <m:sup>
            <m:r>
              <m:t>t</m:t>
            </m:r>
            <m:r>
              <m:t>h</m:t>
            </m:r>
          </m:sup>
        </m:sSup>
      </m:oMath>
      <w:r>
        <w:t xml:space="preserve"> </w:t>
      </w:r>
      <w:r>
        <w:t xml:space="preserve">match where success reached a plateau (Figure 1C).</w:t>
      </w:r>
    </w:p>
    <w:p>
      <w:pPr>
        <w:pStyle w:val="Corpsdetexte"/>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Titre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among individual differences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showed almost no change with experience (i.e. &lt;0.05 change in standard deviation).</w:t>
      </w:r>
    </w:p>
    <w:p>
      <w:pPr>
        <w:pStyle w:val="Corpsdetexte"/>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Corpsdetexte"/>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Titre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tended to encounter groups of prey that were on average faster and more similar (Figure 4A-B and Appendix S4: Table S1). There was however no evidence that these correlations increased with experience (Figure 4C)</w:t>
      </w:r>
    </w:p>
    <w:p>
      <w:pPr>
        <w:pStyle w:val="Corpsdetexte"/>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tended to be more specialized in their tactic, while those that encountered groups of prey with varying speeds tended to be more flexible. We did not find evidence that this correlation increased with experience (Figure 4C).</w:t>
      </w:r>
    </w:p>
    <w:bookmarkEnd w:id="36"/>
    <w:bookmarkStart w:id="37" w:name="success-along-the-foraging-continuum"/>
    <w:p>
      <w:pPr>
        <w:pStyle w:val="Titre2"/>
      </w:pPr>
      <w:r>
        <w:t xml:space="preserve">Success along the foraging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2" w:name="discussion"/>
    <w:p>
      <w:pPr>
        <w:pStyle w:val="Titre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suggesting that the development of predator expertise was honed through extensive practice.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tended to match across experience, suggesting that both were probably adjusting to each other. Specialized cursorial hunters tended to encounter similar groups of prey, while slower and flexible hunters tended to encounter varying groups of prey. Yet, an important part of the population did not change its behaviour with experience, which probably contributed to an imperfect matching between predator and prey behaviour, resulting in among individual differences in hunting success. Overall, predators along the flexible-specialist continuum achieved similar success, although flexible hunters were slightly less successful as advanced hunters.</w:t>
      </w:r>
    </w:p>
    <w:bookmarkStart w:id="39" w:name="the-development-of-expertise"/>
    <w:p>
      <w:pPr>
        <w:pStyle w:val="Titre2"/>
      </w:pPr>
      <w:r>
        <w:t xml:space="preserve">The development of expertise</w:t>
      </w:r>
    </w:p>
    <w:p>
      <w:pPr>
        <w:pStyle w:val="FirstParagraph"/>
      </w:pPr>
      <w:r>
        <w:t xml:space="preserve">Our results suggest that predator expertise is honed through extensive practice. The predator population increased and stabilized its success with experience in a diminishing returns fashion as it is typically found in empirical studies of expertise</w:t>
      </w:r>
      <w:r>
        <w:t xml:space="preserve"> </w:t>
      </w:r>
      <w:r>
        <w:t xml:space="preserve">(reviewed in Dukas 2019)</w:t>
      </w:r>
      <w:r>
        <w:t xml:space="preserve">. The prey were important in mediating this pattern, probably because they increased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This resulted in discernable differences in the relationship between success and experience among predators, implying that the development of expertise depends on an individual’s capacity to adjust to difficulty. Hunting faster prey requires costly and specialized cognitive abilities and coordination in predators</w:t>
      </w:r>
      <w:r>
        <w:t xml:space="preserve"> </w:t>
      </w:r>
      <w:r>
        <w:t xml:space="preserve">(Kelley and Magurran 2011)</w:t>
      </w:r>
      <w:r>
        <w:t xml:space="preserve">, and that could explain why such prey were more difficult to capture. Thus, predators that couldn’t properly hunt at high speeds or develop counterstrategies for faster prey were likely at a disadvantage.</w:t>
      </w:r>
    </w:p>
    <w:p>
      <w:pPr>
        <w:pStyle w:val="Corpsdetexte"/>
      </w:pPr>
      <w:r>
        <w:t xml:space="preserve">However, even after we took the prey’s speed into account, there were still important differences in expertise acquisition among predators, suggesting that other antipredator tactics were potentially involved. For example, if the prey used camouflage or hiding to avoid being detected</w:t>
      </w:r>
      <w:r>
        <w:t xml:space="preserve"> </w:t>
      </w:r>
      <w:r>
        <w:t xml:space="preserve">(Bowen et al. 2002, Carey and Wahl 2011, Nomura et al. 2011)</w:t>
      </w:r>
      <w:r>
        <w:t xml:space="preserve">, then predators may have found them only if they learned how to exploit the visual cues that facilitate cryptic prey detection, such as habitat characteristics or prey colour patterns</w:t>
      </w:r>
      <w:r>
        <w:t xml:space="preserve"> </w:t>
      </w:r>
      <w:r>
        <w:t xml:space="preserve">(Ehlinger 1989, Hughes et al. 1992, Warburton 2003, Szopa-Comley et al. 2020)</w:t>
      </w:r>
      <w:r>
        <w:t xml:space="preserve">. In addition, longer time intervals between hunting events may delay or even impede learning due to forgetting important information</w:t>
      </w:r>
      <w:r>
        <w:t xml:space="preserve"> </w:t>
      </w:r>
      <w:r>
        <w:t xml:space="preserve">(Endler 1991, Wright et al. 2022)</w:t>
      </w:r>
      <w:r>
        <w:t xml:space="preserve">.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Accounting for such time lags may reveal important insights on the outcome of predator-prey interactions.</w:t>
      </w:r>
    </w:p>
    <w:bookmarkEnd w:id="39"/>
    <w:bookmarkStart w:id="40" w:name="X18cffc1c3da8396923568a51d10de7871708988"/>
    <w:p>
      <w:pPr>
        <w:pStyle w:val="Titre2"/>
      </w:pPr>
      <w:r>
        <w:t xml:space="preserve">Predator-prey interactions across experience</w:t>
      </w:r>
    </w:p>
    <w:p>
      <w:pPr>
        <w:pStyle w:val="FirstParagraph"/>
      </w:pPr>
      <w:r>
        <w:t xml:space="preserve">The predator population maintained its speed and degree of specialization throughout the study period, and individuals differed only slightly in their average speeds. However, differences in specialization among individuals were important and increased slightly with experience. Predators hunting at higher speeds specialized in this tactic and tended to encounter groups of prey with similar speeds, while those hunting at slower speeds were flexible and tended to encounter varying groups of prey. On one hand, this pattern could arise if some predators adjusted their strategy to their prey,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However, we observed that 44% of the predator population showed close to no change in specialization with experience. Since these individuals were already specialized as novices (MFF personal observation), there would be no point in them changing their tactic with experience if they were already successful, or there could have been costs to switch their strategy if they more often encountered faster prey. This could explain why the behavioural interactions between the predator and the prey remained stable across the predator’s experience. Yet, because prey can also learn how to avoid predation [REFS], we believe that the predator-prey phenotype matching more likely emerged from reciprocal adjustments in speed by predators and prey as they interacted</w:t>
      </w:r>
      <w:r>
        <w:t xml:space="preserve"> </w:t>
      </w:r>
      <w:r>
        <w:t xml:space="preserve">(Kishida et al. 2006, 2009, Edgell and Rochette 2009, McGhee et al. 2013)</w:t>
      </w:r>
      <w:r>
        <w:t xml:space="preserve">. Indeed, 44% of the predator population altered its behaviour with experience to different degrees, and 12% even switched between flexibility and specialization. Hence, if the prey also learned through repeated interactions with the predators, it is possible that experience contributed in stabilizing the system as both were adusting to each other, similar to Red Queen dynamics</w:t>
      </w:r>
      <w:r>
        <w:t xml:space="preserve"> </w:t>
      </w:r>
      <w:r>
        <w:t xml:space="preserve">(Brockhurst et al. 2014)</w:t>
      </w:r>
      <w:r>
        <w:t xml:space="preserve">. Our results appear to support this since many individuals were shifting their behavioural niche while the population niche remained stable across experience.</w:t>
      </w:r>
    </w:p>
    <w:p>
      <w:pPr>
        <w:pStyle w:val="Corpsdetexte"/>
      </w:pPr>
      <w:r>
        <w:t xml:space="preserve">Classical theory predicts that individual foraging specialization should maximize prey consumption by optimizing foraging efficiency</w:t>
      </w:r>
      <w:r>
        <w:t xml:space="preserve"> </w:t>
      </w:r>
      <w:r>
        <w:t xml:space="preserve">(Stephens and Krebs 1986)</w:t>
      </w:r>
      <w:r>
        <w:t xml:space="preserve">, but other work suggests that flexibility and specialization could both be adaptive as resources fluctuate</w:t>
      </w:r>
      <w:r>
        <w:t xml:space="preserve"> </w:t>
      </w:r>
      <w:r>
        <w:t xml:space="preserve">(Woo et al. 2008, Phillips et al. 2017)</w:t>
      </w:r>
      <w:r>
        <w:t xml:space="preserve">. Our results support empirical findings indicating that flexible and specialist foragers obtained similar success</w:t>
      </w:r>
      <w:r>
        <w:t xml:space="preserve"> </w:t>
      </w:r>
      <w:r>
        <w:t xml:space="preserve">(Weimerskirch 2007, Woo et al. 2008, Potier et al. 2015, Phillips et al. 2017, Courbin et al. 2018)</w:t>
      </w:r>
      <w:r>
        <w:t xml:space="preserve">, although flexible foragers were slightly less successful. Both strategies appeared to emerge in part from individuals learning how to hunt their prey, resulting in a general increase in success in the population. However, there were still considerable differences in success among individuals through time, suggesting that some predators were limited in their capacity to match their tactic to their prey or to increase their success. Specialist foragers were faster, and thus, probably better equipped to hunt the more difficult faster prey in</w:t>
      </w:r>
      <w:r>
        <w:t xml:space="preserve"> </w:t>
      </w:r>
      <w:r>
        <w:rPr>
          <w:iCs/>
          <w:i/>
        </w:rPr>
        <w:t xml:space="preserve">DBD</w:t>
      </w:r>
      <w:r>
        <w:t xml:space="preserve">. However, if the prey responded to fast predators by also being faster, then hunting at high speeds resulted in more difficult encounters for the predator, thereby nullyfing the benefits of using this tactic (Figure 4). Thus, specializing probably compensated for the difficulty of hunting prey at high speeds by helping predators to better predict the location and movement of their prey. On the other hand, flexible foragers encountered variable prey with slower speeds. Yet, because the prey increased their speed with experience, the benefits of being able to hunt multiple prey types for flexible hunters may have come at the cost of not being adept at capturing faster prey</w:t>
      </w:r>
      <w:r>
        <w:t xml:space="preserve"> </w:t>
      </w:r>
      <w:r>
        <w:t xml:space="preserve">(Pintor et al. 2014)</w:t>
      </w:r>
      <w:r>
        <w:t xml:space="preserve">. Such trade-offs may reflect limitations in learning all the skills required to successfully hunt all types of prey</w:t>
      </w:r>
      <w:r>
        <w:t xml:space="preserve"> </w:t>
      </w:r>
      <w:r>
        <w:t xml:space="preserve">(Healy 1992, Bélisle and Cresswell 1997, Dukas 2019)</w:t>
      </w:r>
      <w:r>
        <w:t xml:space="preserve">, particularly if the skills required to hunt slower prey are nontransferable to faster prey. As the benefits of each hunting style changed under different scenarios, the combination of predatory styles in our virtual system reflects how resource fluctuations can maintain fitness equilibrium within populations, resulting in behavioural diversity in predator-prey systems</w:t>
      </w:r>
      <w:r>
        <w:t xml:space="preserve"> </w:t>
      </w:r>
      <w:r>
        <w:t xml:space="preserve">(Woo et al. 2008, Tinker et al. 2008, Mougi and Kishida 2009)</w:t>
      </w:r>
      <w:r>
        <w:t xml:space="preserve">.</w:t>
      </w:r>
    </w:p>
    <w:bookmarkEnd w:id="40"/>
    <w:bookmarkStart w:id="41" w:name="conclusions"/>
    <w:p>
      <w:pPr>
        <w:pStyle w:val="Titre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 support of our prediction that prey were driving individual differences in expertise in a predator population. We also confirmed that experience and predator-prey encounters drove the patterns of individual foraging specialization and flexibility. Our results suggest that predators learned with experience, as their success increased and their speed remained matched the speed of their prey. Even though individuals were not all equally successful, both specialized and flexible tactics achieved similar hunting success. One limitation of our study was that we couldn’t monitor all the matches of the prey, which prevented us from assessing their responses to the predator. Hence, future studies should aim at monitoring reciprocal behavioural dynamics through time, which may reveal important insights on the mechanisms driving stable equilibria in predator-prey systems. Lastly, 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1"/>
    <w:bookmarkEnd w:id="42"/>
    <w:bookmarkStart w:id="43"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3"/>
    <w:bookmarkStart w:id="44" w:name="conflict-of-interest-statement"/>
    <w:p>
      <w:pPr>
        <w:pStyle w:val="Titre1"/>
      </w:pPr>
      <w:r>
        <w:t xml:space="preserve">CONFLICT OF INTEREST STATEMENT</w:t>
      </w:r>
    </w:p>
    <w:p>
      <w:pPr>
        <w:pStyle w:val="FirstParagraph"/>
      </w:pPr>
      <w:r>
        <w:t xml:space="preserve">The authors declare no conflict of interest</w:t>
      </w:r>
    </w:p>
    <w:bookmarkEnd w:id="44"/>
    <w:bookmarkStart w:id="203" w:name="references"/>
    <w:p>
      <w:pPr>
        <w:pStyle w:val="Titre1"/>
      </w:pPr>
      <w:r>
        <w:t xml:space="preserve">REFERENCES</w:t>
      </w:r>
    </w:p>
    <w:bookmarkStart w:id="202" w:name="refs"/>
    <w:bookmarkStart w:id="46" w:name="X9ccdc79884b0c2eb3254f9953598a7b82871539"/>
    <w:p>
      <w:pPr>
        <w:pStyle w:val="Bibliographie"/>
      </w:pPr>
      <w:r>
        <w:t xml:space="preserve">Abrams, P. A. 2000.</w:t>
      </w:r>
      <w:r>
        <w:t xml:space="preserve"> </w:t>
      </w:r>
      <w:hyperlink r:id="rId45">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6"/>
    <w:bookmarkStart w:id="48" w:name="ref-Araujo.etal2011"/>
    <w:p>
      <w:pPr>
        <w:pStyle w:val="Bibliographie"/>
      </w:pPr>
      <w:r>
        <w:t xml:space="preserve">Araújo, M. S., D. I. Bolnick, and C. A. Layman. 2011.</w:t>
      </w:r>
      <w:r>
        <w:t xml:space="preserve"> </w:t>
      </w:r>
      <w:hyperlink r:id="rId47">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48"/>
    <w:bookmarkStart w:id="50" w:name="ref-Barbe.etal2020"/>
    <w:p>
      <w:pPr>
        <w:pStyle w:val="Bibliographie"/>
      </w:pPr>
      <w:r>
        <w:t xml:space="preserve">Barbe, L., C. Mony, and B. W. Abbott. 2020.</w:t>
      </w:r>
      <w:r>
        <w:t xml:space="preserve"> </w:t>
      </w:r>
      <w:hyperlink r:id="rId49">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0"/>
    <w:bookmarkStart w:id="52" w:name="ref-Beauchamp2020"/>
    <w:p>
      <w:pPr>
        <w:pStyle w:val="Bibliographie"/>
      </w:pPr>
      <w:r>
        <w:t xml:space="preserve">Beauchamp, G. 2020.</w:t>
      </w:r>
      <w:r>
        <w:t xml:space="preserve"> </w:t>
      </w:r>
      <w:hyperlink r:id="rId51">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2"/>
    <w:bookmarkStart w:id="54" w:name="ref-belisle1997"/>
    <w:p>
      <w:pPr>
        <w:pStyle w:val="Bibliographie"/>
      </w:pPr>
      <w:r>
        <w:t xml:space="preserve">Bélisle, C., and J. Cresswell. 1997.</w:t>
      </w:r>
      <w:r>
        <w:t xml:space="preserve"> </w:t>
      </w:r>
      <w:hyperlink r:id="rId53">
        <w:r>
          <w:rPr>
            <w:rStyle w:val="Lienhypertexte"/>
          </w:rPr>
          <w:t xml:space="preserve">The</w:t>
        </w:r>
        <w:r>
          <w:rPr>
            <w:rStyle w:val="Lienhypertexte"/>
          </w:rPr>
          <w:t xml:space="preserve"> </w:t>
        </w:r>
        <w:r>
          <w:rPr>
            <w:rStyle w:val="Lienhypertexte"/>
          </w:rPr>
          <w:t xml:space="preserve">Effects</w:t>
        </w:r>
        <w:r>
          <w:rPr>
            <w:rStyle w:val="Lienhypertexte"/>
          </w:rPr>
          <w:t xml:space="preserve"> </w:t>
        </w:r>
        <w:r>
          <w:rPr>
            <w:rStyle w:val="Lienhypertexte"/>
          </w:rPr>
          <w:t xml:space="preserve">of a</w:t>
        </w:r>
        <w:r>
          <w:rPr>
            <w:rStyle w:val="Lienhypertexte"/>
          </w:rPr>
          <w:t xml:space="preserve"> </w:t>
        </w:r>
        <w:r>
          <w:rPr>
            <w:rStyle w:val="Lienhypertexte"/>
          </w:rPr>
          <w:t xml:space="preserve">Limited Memory Capacity</w:t>
        </w:r>
        <w:r>
          <w:rPr>
            <w:rStyle w:val="Lienhypertexte"/>
          </w:rPr>
          <w:t xml:space="preserve"> </w:t>
        </w:r>
        <w:r>
          <w:rPr>
            <w:rStyle w:val="Lienhypertexte"/>
          </w:rPr>
          <w:t xml:space="preserve">on</w:t>
        </w:r>
        <w:r>
          <w:rPr>
            <w:rStyle w:val="Lienhypertexte"/>
          </w:rPr>
          <w:t xml:space="preserve"> </w:t>
        </w:r>
        <w:r>
          <w:rPr>
            <w:rStyle w:val="Lienhypertexte"/>
          </w:rPr>
          <w:t xml:space="preserve">Foraging Behavior</w:t>
        </w:r>
      </w:hyperlink>
      <w:r>
        <w:t xml:space="preserve">. Theoretical Population Biology 52:78–90.</w:t>
      </w:r>
    </w:p>
    <w:bookmarkEnd w:id="54"/>
    <w:bookmarkStart w:id="56" w:name="ref-Bowen.etal2002"/>
    <w:p>
      <w:pPr>
        <w:pStyle w:val="Bibliographie"/>
      </w:pPr>
      <w:r>
        <w:t xml:space="preserve">Bowen, W. D., D. Tully, D. J. Boness, B. M. Bulheier, and G. J. Marshall. 2002.</w:t>
      </w:r>
      <w:r>
        <w:t xml:space="preserve"> </w:t>
      </w:r>
      <w:hyperlink r:id="rId55">
        <w:r>
          <w:rPr>
            <w:rStyle w:val="Lienhypertexte"/>
          </w:rPr>
          <w:t xml:space="preserve">Prey-</w:t>
        </w:r>
        <w:r>
          <w:rPr>
            <w:rStyle w:val="Lienhypertexte"/>
          </w:rPr>
          <w:t xml:space="preserve">Dependent Foraging Tactics</w:t>
        </w:r>
        <w:r>
          <w:rPr>
            <w:rStyle w:val="Lienhypertexte"/>
          </w:rPr>
          <w:t xml:space="preserve"> </w:t>
        </w:r>
        <w:r>
          <w:rPr>
            <w:rStyle w:val="Lienhypertexte"/>
          </w:rPr>
          <w:t xml:space="preserve">and</w:t>
        </w:r>
        <w:r>
          <w:rPr>
            <w:rStyle w:val="Lienhypertexte"/>
          </w:rPr>
          <w:t xml:space="preserve"> </w:t>
        </w:r>
        <w:r>
          <w:rPr>
            <w:rStyle w:val="Lienhypertexte"/>
          </w:rPr>
          <w:t xml:space="preserve">Prey Profitability</w:t>
        </w:r>
        <w:r>
          <w:rPr>
            <w:rStyle w:val="Lienhypertexte"/>
          </w:rPr>
          <w:t xml:space="preserve"> </w:t>
        </w:r>
        <w:r>
          <w:rPr>
            <w:rStyle w:val="Lienhypertexte"/>
          </w:rPr>
          <w:t xml:space="preserve">in a</w:t>
        </w:r>
        <w:r>
          <w:rPr>
            <w:rStyle w:val="Lienhypertexte"/>
          </w:rPr>
          <w:t xml:space="preserve"> </w:t>
        </w:r>
        <w:r>
          <w:rPr>
            <w:rStyle w:val="Lienhypertexte"/>
          </w:rPr>
          <w:t xml:space="preserve">Marine Mammal</w:t>
        </w:r>
      </w:hyperlink>
      <w:r>
        <w:t xml:space="preserve">. Marine Ecology Progress Series 244:235–245.</w:t>
      </w:r>
    </w:p>
    <w:bookmarkEnd w:id="56"/>
    <w:bookmarkStart w:id="58" w:name="ref-brockhurst2014"/>
    <w:p>
      <w:pPr>
        <w:pStyle w:val="Bibliographie"/>
      </w:pPr>
      <w:r>
        <w:t xml:space="preserve">Brockhurst, M. A., T. Chapman, K. C. King, J. E. Mank, S. Paterson, and G. D. D. Hurst. 2014.</w:t>
      </w:r>
      <w:r>
        <w:t xml:space="preserve"> </w:t>
      </w:r>
      <w:hyperlink r:id="rId57">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58"/>
    <w:bookmarkStart w:id="60" w:name="ref-Bro-Jorgensen2013"/>
    <w:p>
      <w:pPr>
        <w:pStyle w:val="Bibliographie"/>
      </w:pPr>
      <w:r>
        <w:t xml:space="preserve">Bro-Jørgensen, J. 2013.</w:t>
      </w:r>
      <w:r>
        <w:t xml:space="preserve"> </w:t>
      </w:r>
      <w:hyperlink r:id="rId59">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0"/>
    <w:bookmarkStart w:id="62" w:name="ref-Burkner2017"/>
    <w:p>
      <w:pPr>
        <w:pStyle w:val="Bibliographie"/>
      </w:pPr>
      <w:r>
        <w:t xml:space="preserve">Bürkner, P.-C. 2017.</w:t>
      </w:r>
      <w:r>
        <w:t xml:space="preserve"> </w:t>
      </w:r>
      <w:hyperlink r:id="rId61">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62"/>
    <w:bookmarkStart w:id="64" w:name="ref-Carey.Wahl2011"/>
    <w:p>
      <w:pPr>
        <w:pStyle w:val="Bibliographie"/>
      </w:pPr>
      <w:r>
        <w:t xml:space="preserve">Carey, M. P., and D. H. Wahl. 2011.</w:t>
      </w:r>
      <w:r>
        <w:t xml:space="preserve"> </w:t>
      </w:r>
      <w:hyperlink r:id="rId63">
        <w:r>
          <w:rPr>
            <w:rStyle w:val="Lienhypertexte"/>
          </w:rPr>
          <w:t xml:space="preserve">Foraging</w:t>
        </w:r>
        <w:r>
          <w:rPr>
            <w:rStyle w:val="Lienhypertexte"/>
          </w:rPr>
          <w:t xml:space="preserve"> </w:t>
        </w:r>
        <w:r>
          <w:rPr>
            <w:rStyle w:val="Lienhypertexte"/>
          </w:rPr>
          <w:t xml:space="preserve">Modes</w:t>
        </w:r>
        <w:r>
          <w:rPr>
            <w:rStyle w:val="Lienhypertexte"/>
          </w:rPr>
          <w:t xml:space="preserve"> </w:t>
        </w:r>
        <w:r>
          <w:rPr>
            <w:rStyle w:val="Lienhypertexte"/>
          </w:rPr>
          <w:t xml:space="preserve">of</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Behaviors</w:t>
        </w:r>
        <w:r>
          <w:rPr>
            <w:rStyle w:val="Lienhypertexte"/>
          </w:rPr>
          <w:t xml:space="preserve"> </w:t>
        </w:r>
        <w:r>
          <w:rPr>
            <w:rStyle w:val="Lienhypertexte"/>
          </w:rPr>
          <w:t xml:space="preserve">of</w:t>
        </w:r>
        <w:r>
          <w:rPr>
            <w:rStyle w:val="Lienhypertexte"/>
          </w:rPr>
          <w:t xml:space="preserve"> </w:t>
        </w:r>
        <w:r>
          <w:rPr>
            <w:rStyle w:val="Lienhypertexte"/>
          </w:rPr>
          <w:t xml:space="preserve">Prey Determine</w:t>
        </w:r>
        <w:r>
          <w:rPr>
            <w:rStyle w:val="Lienhypertexte"/>
          </w:rPr>
          <w:t xml:space="preserve"> </w:t>
        </w:r>
        <w:r>
          <w:rPr>
            <w:rStyle w:val="Lienhypertexte"/>
          </w:rPr>
          <w:t xml:space="preserve">the</w:t>
        </w:r>
        <w:r>
          <w:rPr>
            <w:rStyle w:val="Lienhypertexte"/>
          </w:rPr>
          <w:t xml:space="preserve"> </w:t>
        </w:r>
        <w:r>
          <w:rPr>
            <w:rStyle w:val="Lienhypertexte"/>
          </w:rPr>
          <w:t xml:space="preserve">Outcome</w:t>
        </w:r>
        <w:r>
          <w:rPr>
            <w:rStyle w:val="Lienhypertexte"/>
          </w:rPr>
          <w:t xml:space="preserve"> </w:t>
        </w:r>
        <w:r>
          <w:rPr>
            <w:rStyle w:val="Lienhypertexte"/>
          </w:rPr>
          <w:t xml:space="preserve">of</w:t>
        </w:r>
        <w:r>
          <w:rPr>
            <w:rStyle w:val="Lienhypertexte"/>
          </w:rPr>
          <w:t xml:space="preserve"> </w:t>
        </w:r>
        <w:r>
          <w:rPr>
            <w:rStyle w:val="Lienhypertexte"/>
          </w:rPr>
          <w:t xml:space="preserve">Multiple Predator Interactions</w:t>
        </w:r>
      </w:hyperlink>
      <w:r>
        <w:t xml:space="preserve">. Transactions of the American Fisheries Society 140:1015–1022.</w:t>
      </w:r>
    </w:p>
    <w:bookmarkEnd w:id="64"/>
    <w:bookmarkStart w:id="66" w:name="ref-Cere.etal2021"/>
    <w:p>
      <w:pPr>
        <w:pStyle w:val="Bibliographie"/>
      </w:pPr>
      <w:r>
        <w:t xml:space="preserve">Céré, J., P.-O. Montiglio, and C. D. Kelly. 2021.</w:t>
      </w:r>
      <w:r>
        <w:t xml:space="preserve"> </w:t>
      </w:r>
      <w:hyperlink r:id="rId65">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66"/>
    <w:bookmarkStart w:id="68" w:name="ref-Chang.etal2017"/>
    <w:p>
      <w:pPr>
        <w:pStyle w:val="Bibliographie"/>
      </w:pPr>
      <w:r>
        <w:t xml:space="preserve">Chang, C., H. Y. Teo, Y. Norma-Rashid, and D. Li. 2017.</w:t>
      </w:r>
      <w:r>
        <w:t xml:space="preserve"> </w:t>
      </w:r>
      <w:hyperlink r:id="rId67">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68"/>
    <w:bookmarkStart w:id="70" w:name="ref-Cleasby.etal2015"/>
    <w:p>
      <w:pPr>
        <w:pStyle w:val="Bibliographie"/>
      </w:pPr>
      <w:r>
        <w:t xml:space="preserve">Cleasby, I. R., S. Nakagawa, and H. Schielzeth. 2015.</w:t>
      </w:r>
      <w:r>
        <w:t xml:space="preserve"> </w:t>
      </w:r>
      <w:hyperlink r:id="rId69">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0"/>
    <w:bookmarkStart w:id="72" w:name="ref-Courbin.etal2018"/>
    <w:p>
      <w:pPr>
        <w:pStyle w:val="Bibliographie"/>
      </w:pPr>
      <w:r>
        <w:t xml:space="preserve">Courbin, N., A. Besnard, C. Péron, C. Saraux, J. Fort, S. Perret, J. Tornos, and D. Grémillet. 2018.</w:t>
      </w:r>
      <w:r>
        <w:t xml:space="preserve"> </w:t>
      </w:r>
      <w:hyperlink r:id="rId71">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72"/>
    <w:bookmarkStart w:id="73"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3"/>
    <w:bookmarkStart w:id="75" w:name="ref-DeLisle.etal2022"/>
    <w:p>
      <w:pPr>
        <w:pStyle w:val="Bibliographie"/>
      </w:pPr>
      <w:r>
        <w:t xml:space="preserve">De Lisle, S. P., D. I. Bolnick, E. D. Brodie III, A. J. Moore, and J. W. McGlothlin. 2022.</w:t>
      </w:r>
      <w:r>
        <w:t xml:space="preserve"> </w:t>
      </w:r>
      <w:hyperlink r:id="rId74">
        <w:r>
          <w:rPr>
            <w:rStyle w:val="Lienhypertexte"/>
          </w:rPr>
          <w:t xml:space="preserve">Interacting phenotypes and the coevolutionary process: Interspecific indirect genetic effects alter coevolutionary dynamics</w:t>
        </w:r>
      </w:hyperlink>
      <w:r>
        <w:t xml:space="preserve">. Evolution 76:429–444.</w:t>
      </w:r>
    </w:p>
    <w:bookmarkEnd w:id="75"/>
    <w:bookmarkStart w:id="77" w:name="ref-Dukas2019"/>
    <w:p>
      <w:pPr>
        <w:pStyle w:val="Bibliographie"/>
      </w:pPr>
      <w:r>
        <w:t xml:space="preserve">Dukas, R. 2019.</w:t>
      </w:r>
      <w:r>
        <w:t xml:space="preserve"> </w:t>
      </w:r>
      <w:hyperlink r:id="rId76">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77"/>
    <w:bookmarkStart w:id="79" w:name="ref-Duthie.etal2021"/>
    <w:p>
      <w:pPr>
        <w:pStyle w:val="Bibliographie"/>
      </w:pPr>
      <w:r>
        <w:t xml:space="preserve">Duthie, A. B., J. Minderman, O. S. Rakotonarivo, G. Ochoa, and N. Bunnefeld. 2021.</w:t>
      </w:r>
      <w:r>
        <w:t xml:space="preserve"> </w:t>
      </w:r>
      <w:hyperlink r:id="rId78">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79"/>
    <w:bookmarkStart w:id="81" w:name="ref-Edgell.Rochette2009a"/>
    <w:p>
      <w:pPr>
        <w:pStyle w:val="Bibliographie"/>
      </w:pPr>
      <w:r>
        <w:t xml:space="preserve">Edgell, T. C., and R. Rochette. 2009.</w:t>
      </w:r>
      <w:r>
        <w:t xml:space="preserve"> </w:t>
      </w:r>
      <w:hyperlink r:id="rId80">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1"/>
    <w:bookmarkStart w:id="83" w:name="ref-Edwards.Jackson1994"/>
    <w:p>
      <w:pPr>
        <w:pStyle w:val="Bibliographie"/>
      </w:pPr>
      <w:r>
        <w:t xml:space="preserve">Edwards, G. B., and R. R. Jackson. 1994.</w:t>
      </w:r>
      <w:r>
        <w:t xml:space="preserve"> </w:t>
      </w:r>
      <w:hyperlink r:id="rId82">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83"/>
    <w:bookmarkStart w:id="85" w:name="ref-Ehlinger1989"/>
    <w:p>
      <w:pPr>
        <w:pStyle w:val="Bibliographie"/>
      </w:pPr>
      <w:r>
        <w:t xml:space="preserve">Ehlinger, T. J. 1989.</w:t>
      </w:r>
      <w:r>
        <w:t xml:space="preserve"> </w:t>
      </w:r>
      <w:hyperlink r:id="rId84">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85"/>
    <w:bookmarkStart w:id="86"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6"/>
    <w:bookmarkStart w:id="88" w:name="ref-Estes.etal2003"/>
    <w:p>
      <w:pPr>
        <w:pStyle w:val="Bibliographie"/>
      </w:pPr>
      <w:r>
        <w:t xml:space="preserve">Estes, J. A., M. L. Riedman, M. M. Staedler, M. T. Tinker, and B. E. Lyon. 2003.</w:t>
      </w:r>
      <w:r>
        <w:t xml:space="preserve"> </w:t>
      </w:r>
      <w:hyperlink r:id="rId87">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88"/>
    <w:bookmarkStart w:id="90" w:name="ref-FraserFranco.etal2022"/>
    <w:p>
      <w:pPr>
        <w:pStyle w:val="Bibliographie"/>
      </w:pPr>
      <w:r>
        <w:t xml:space="preserve">Fraser Franco, M., F. Santostefano, C. D. Kelly, and P.-O. Montiglio. 2022.</w:t>
      </w:r>
      <w:r>
        <w:t xml:space="preserve"> </w:t>
      </w:r>
      <w:hyperlink r:id="rId89">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0"/>
    <w:bookmarkStart w:id="91"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1"/>
    <w:bookmarkStart w:id="93" w:name="ref-Griffen.etal2012"/>
    <w:p>
      <w:pPr>
        <w:pStyle w:val="Bibliographie"/>
      </w:pPr>
      <w:r>
        <w:t xml:space="preserve">Griffen, B. D., B. J. Toscano, and J. Gatto. 2012.</w:t>
      </w:r>
      <w:r>
        <w:t xml:space="preserve"> </w:t>
      </w:r>
      <w:hyperlink r:id="rId92">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93"/>
    <w:bookmarkStart w:id="95" w:name="ref-healy1992"/>
    <w:p>
      <w:pPr>
        <w:pStyle w:val="Bibliographie"/>
      </w:pPr>
      <w:r>
        <w:t xml:space="preserve">Healy, S. 1992.</w:t>
      </w:r>
      <w:r>
        <w:t xml:space="preserve"> </w:t>
      </w:r>
      <w:hyperlink r:id="rId94">
        <w:r>
          <w:rPr>
            <w:rStyle w:val="Lienhypertexte"/>
          </w:rPr>
          <w:t xml:space="preserve">Optimal memory:</w:t>
        </w:r>
        <w:r>
          <w:rPr>
            <w:rStyle w:val="Lienhypertexte"/>
          </w:rPr>
          <w:t xml:space="preserve"> </w:t>
        </w:r>
        <w:r>
          <w:rPr>
            <w:rStyle w:val="Lienhypertexte"/>
          </w:rPr>
          <w:t xml:space="preserve">Toward</w:t>
        </w:r>
        <w:r>
          <w:rPr>
            <w:rStyle w:val="Lienhypertexte"/>
          </w:rPr>
          <w:t xml:space="preserve"> </w:t>
        </w:r>
        <w:r>
          <w:rPr>
            <w:rStyle w:val="Lienhypertexte"/>
          </w:rPr>
          <w:t xml:space="preserve">an evolutionary ecology of animal cognition?</w:t>
        </w:r>
      </w:hyperlink>
      <w:r>
        <w:t xml:space="preserve"> Trends in Ecology &amp; Evolution 7:399–400.</w:t>
      </w:r>
    </w:p>
    <w:bookmarkEnd w:id="95"/>
    <w:bookmarkStart w:id="97" w:name="ref-Heithaus.etal2018"/>
    <w:p>
      <w:pPr>
        <w:pStyle w:val="Bibliographie"/>
      </w:pPr>
      <w:r>
        <w:t xml:space="preserve">Heithaus, M. R., L. M. Dill, and J. J. Kiszka. 2018.</w:t>
      </w:r>
      <w:r>
        <w:t xml:space="preserve"> </w:t>
      </w:r>
      <w:hyperlink r:id="rId96">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97"/>
    <w:bookmarkStart w:id="99" w:name="ref-Hughes.etal1992"/>
    <w:p>
      <w:pPr>
        <w:pStyle w:val="Bibliographie"/>
      </w:pPr>
      <w:r>
        <w:t xml:space="preserve">Hughes, R. N., M. J. Kaiser, P. A. Mackney, and K. Warburton. 1992.</w:t>
      </w:r>
      <w:r>
        <w:t xml:space="preserve"> </w:t>
      </w:r>
      <w:hyperlink r:id="rId98">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99"/>
    <w:bookmarkStart w:id="101" w:name="ref-Ishii.Shimada2010"/>
    <w:p>
      <w:pPr>
        <w:pStyle w:val="Bibliographie"/>
      </w:pPr>
      <w:r>
        <w:t xml:space="preserve">Ishii, Y., and M. Shimada. 2010.</w:t>
      </w:r>
      <w:r>
        <w:t xml:space="preserve"> </w:t>
      </w:r>
      <w:hyperlink r:id="rId100">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1"/>
    <w:bookmarkStart w:id="103" w:name="ref-Kelley.Magurran2011"/>
    <w:p>
      <w:pPr>
        <w:pStyle w:val="Bibliographie"/>
      </w:pPr>
      <w:r>
        <w:t xml:space="preserve">Kelley, J. L., and A. E. Magurran. 2011.</w:t>
      </w:r>
      <w:r>
        <w:t xml:space="preserve"> </w:t>
      </w:r>
      <w:hyperlink r:id="rId102">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3"/>
    <w:bookmarkStart w:id="105" w:name="ref-Kishida.etal2006"/>
    <w:p>
      <w:pPr>
        <w:pStyle w:val="Bibliographie"/>
      </w:pPr>
      <w:r>
        <w:t xml:space="preserve">Kishida, O., Y. Mizuta, and K. Nishimura. 2006.</w:t>
      </w:r>
      <w:r>
        <w:t xml:space="preserve"> </w:t>
      </w:r>
      <w:hyperlink r:id="rId104">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05"/>
    <w:bookmarkStart w:id="107" w:name="ref-Kishida.etal2009"/>
    <w:p>
      <w:pPr>
        <w:pStyle w:val="Bibliographie"/>
      </w:pPr>
      <w:r>
        <w:t xml:space="preserve">Kishida, O., G. C. Trussell, and K. Nishimura. 2009.</w:t>
      </w:r>
      <w:r>
        <w:t xml:space="preserve"> </w:t>
      </w:r>
      <w:hyperlink r:id="rId106">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07"/>
    <w:bookmarkStart w:id="109" w:name="ref-Kobler.etal2009"/>
    <w:p>
      <w:pPr>
        <w:pStyle w:val="Bibliographie"/>
      </w:pPr>
      <w:r>
        <w:t xml:space="preserve">Kobler, A., T. Klefoth, T. Mehner, and R. Arlinghaus. 2009.</w:t>
      </w:r>
      <w:r>
        <w:t xml:space="preserve"> </w:t>
      </w:r>
      <w:hyperlink r:id="rId108">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09"/>
    <w:bookmarkStart w:id="111" w:name="ref-Lee.Nelder2006"/>
    <w:p>
      <w:pPr>
        <w:pStyle w:val="Bibliographie"/>
      </w:pPr>
      <w:r>
        <w:t xml:space="preserve">Lee, Y., and J. A. Nelder. 2006.</w:t>
      </w:r>
      <w:r>
        <w:t xml:space="preserve"> </w:t>
      </w:r>
      <w:hyperlink r:id="rId110">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11"/>
    <w:bookmarkStart w:id="113" w:name="ref-MacDonald2007"/>
    <w:p>
      <w:pPr>
        <w:pStyle w:val="Bibliographie"/>
      </w:pPr>
      <w:r>
        <w:t xml:space="preserve">MacDonald, K. 2007.</w:t>
      </w:r>
      <w:r>
        <w:t xml:space="preserve"> </w:t>
      </w:r>
      <w:hyperlink r:id="rId112">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13"/>
    <w:bookmarkStart w:id="115" w:name="ref-Manlick.etal2021"/>
    <w:p>
      <w:pPr>
        <w:pStyle w:val="Bibliographie"/>
      </w:pPr>
      <w:r>
        <w:t xml:space="preserve">Manlick, P. J., K. Maldonado, and S. D. Newsome. 2021.</w:t>
      </w:r>
      <w:r>
        <w:t xml:space="preserve"> </w:t>
      </w:r>
      <w:hyperlink r:id="rId114">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15"/>
    <w:bookmarkStart w:id="117" w:name="ref-Martin.etal2022"/>
    <w:p>
      <w:pPr>
        <w:pStyle w:val="Bibliographie"/>
      </w:pPr>
      <w:r>
        <w:t xml:space="preserve">Martin, B. T., M. A. Gil, A. K. Fahimipour, and A. M. Hein. 2022.</w:t>
      </w:r>
      <w:r>
        <w:t xml:space="preserve"> </w:t>
      </w:r>
      <w:hyperlink r:id="rId116">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17"/>
    <w:bookmarkStart w:id="119" w:name="ref-Matsumura.Miyatake2022a"/>
    <w:p>
      <w:pPr>
        <w:pStyle w:val="Bibliographie"/>
      </w:pPr>
      <w:r>
        <w:t xml:space="preserve">Matsumura, K., and T. Miyatake. 2022.</w:t>
      </w:r>
      <w:r>
        <w:t xml:space="preserve"> </w:t>
      </w:r>
      <w:hyperlink r:id="rId118">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19"/>
    <w:bookmarkStart w:id="121" w:name="ref-McGhee.etal2013a"/>
    <w:p>
      <w:pPr>
        <w:pStyle w:val="Bibliographie"/>
      </w:pPr>
      <w:r>
        <w:t xml:space="preserve">McGhee, K. E., L. M. Pintor, and A. M. Bell. 2013.</w:t>
      </w:r>
      <w:r>
        <w:t xml:space="preserve"> </w:t>
      </w:r>
      <w:hyperlink r:id="rId120">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21"/>
    <w:bookmarkStart w:id="123" w:name="ref-Mery.Burns2010"/>
    <w:p>
      <w:pPr>
        <w:pStyle w:val="Bibliographie"/>
      </w:pPr>
      <w:r>
        <w:t xml:space="preserve">Mery, F., and J. G. Burns. 2010.</w:t>
      </w:r>
      <w:r>
        <w:t xml:space="preserve"> </w:t>
      </w:r>
      <w:hyperlink r:id="rId122">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23"/>
    <w:bookmarkStart w:id="125" w:name="ref-Michalko.etal2021"/>
    <w:p>
      <w:pPr>
        <w:pStyle w:val="Bibliographie"/>
      </w:pPr>
      <w:r>
        <w:t xml:space="preserve">Michalko, R., A. T. Gibbons, S. L. Goodacre, and S. Pekár. 2021.</w:t>
      </w:r>
      <w:r>
        <w:t xml:space="preserve"> </w:t>
      </w:r>
      <w:hyperlink r:id="rId124">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25"/>
    <w:bookmarkStart w:id="127" w:name="ref-Michalko.Pekar2016"/>
    <w:p>
      <w:pPr>
        <w:pStyle w:val="Bibliographie"/>
      </w:pPr>
      <w:r>
        <w:t xml:space="preserve">Michalko, R., and S. Pekár. 2016.</w:t>
      </w:r>
      <w:r>
        <w:t xml:space="preserve"> </w:t>
      </w:r>
      <w:hyperlink r:id="rId126">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27"/>
    <w:bookmarkStart w:id="129" w:name="ref-Mitchell.etal2016a"/>
    <w:p>
      <w:pPr>
        <w:pStyle w:val="Bibliographie"/>
      </w:pPr>
      <w:r>
        <w:t xml:space="preserve">Mitchell, D. J., B. G. Fanson, C. Beckmann, and P. A. Biro. 2016.</w:t>
      </w:r>
      <w:r>
        <w:t xml:space="preserve"> </w:t>
      </w:r>
      <w:hyperlink r:id="rId128">
        <w:r>
          <w:rPr>
            <w:rStyle w:val="Lienhypertexte"/>
          </w:rPr>
          <w:t xml:space="preserve">Towards powerful experimental and statistical approaches to study intraindividual variability in labile traits</w:t>
        </w:r>
      </w:hyperlink>
      <w:r>
        <w:t xml:space="preserve">. Royal Society Open Science 3:160352.</w:t>
      </w:r>
    </w:p>
    <w:bookmarkEnd w:id="129"/>
    <w:bookmarkStart w:id="131" w:name="ref-Moran.etal2017"/>
    <w:p>
      <w:pPr>
        <w:pStyle w:val="Bibliographie"/>
      </w:pPr>
      <w:r>
        <w:t xml:space="preserve">Moran, N. P., B. B. M. Wong, and R. M. Thompson. 2017.</w:t>
      </w:r>
      <w:r>
        <w:t xml:space="preserve"> </w:t>
      </w:r>
      <w:hyperlink r:id="rId130">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31"/>
    <w:bookmarkStart w:id="133" w:name="ref-Morse2000"/>
    <w:p>
      <w:pPr>
        <w:pStyle w:val="Bibliographie"/>
      </w:pPr>
      <w:r>
        <w:t xml:space="preserve">Morse, D. H. 2000.</w:t>
      </w:r>
      <w:r>
        <w:t xml:space="preserve"> </w:t>
      </w:r>
      <w:hyperlink r:id="rId132">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33"/>
    <w:bookmarkStart w:id="135" w:name="ref-Mougi.Kishida2009"/>
    <w:p>
      <w:pPr>
        <w:pStyle w:val="Bibliographie"/>
      </w:pPr>
      <w:r>
        <w:t xml:space="preserve">Mougi, A., and O. Kishida. 2009.</w:t>
      </w:r>
      <w:r>
        <w:t xml:space="preserve"> </w:t>
      </w:r>
      <w:hyperlink r:id="rId134">
        <w:r>
          <w:rPr>
            <w:rStyle w:val="Lienhypertexte"/>
          </w:rPr>
          <w:t xml:space="preserve">Reciprocal</w:t>
        </w:r>
        <w:r>
          <w:rPr>
            <w:rStyle w:val="Lienhypertexte"/>
          </w:rPr>
          <w:t xml:space="preserve"> </w:t>
        </w:r>
        <w:r>
          <w:rPr>
            <w:rStyle w:val="Lienhypertexte"/>
          </w:rPr>
          <w:t xml:space="preserve">Phenotypic Plasticity Can Lead</w:t>
        </w:r>
        <w:r>
          <w:rPr>
            <w:rStyle w:val="Lienhypertexte"/>
          </w:rPr>
          <w:t xml:space="preserve"> </w:t>
        </w:r>
        <w:r>
          <w:rPr>
            <w:rStyle w:val="Lienhypertexte"/>
          </w:rPr>
          <w:t xml:space="preserve">to</w:t>
        </w:r>
        <w:r>
          <w:rPr>
            <w:rStyle w:val="Lienhypertexte"/>
          </w:rPr>
          <w:t xml:space="preserve"> </w:t>
        </w:r>
        <w:r>
          <w:rPr>
            <w:rStyle w:val="Lienhypertexte"/>
          </w:rPr>
          <w:t xml:space="preserve">Stable Predator</w:t>
        </w:r>
      </w:hyperlink>
      <w:r>
        <w:t xml:space="preserve">. Journal of Animal Ecology 78:1172–1181.</w:t>
      </w:r>
    </w:p>
    <w:bookmarkEnd w:id="135"/>
    <w:bookmarkStart w:id="137" w:name="ref-Nomura.etal2011"/>
    <w:p>
      <w:pPr>
        <w:pStyle w:val="Bibliographie"/>
      </w:pPr>
      <w:r>
        <w:t xml:space="preserve">Nomura, F., V. H. M. do Prado, F. R. da Silva, R. E. Borges, N. Y. N. Dias, and D. de C. Rossa-Feres. 2011.</w:t>
      </w:r>
      <w:r>
        <w:t xml:space="preserve"> </w:t>
      </w:r>
      <w:hyperlink r:id="rId136">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37"/>
    <w:bookmarkStart w:id="139" w:name="ref-Patrick.Weimerskirch2014"/>
    <w:p>
      <w:pPr>
        <w:pStyle w:val="Bibliographie"/>
      </w:pPr>
      <w:r>
        <w:t xml:space="preserve">Patrick, S. C., and H. Weimerskirch. 2014a.</w:t>
      </w:r>
      <w:r>
        <w:t xml:space="preserve"> </w:t>
      </w:r>
      <w:hyperlink r:id="rId138">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39"/>
    <w:bookmarkStart w:id="141" w:name="ref-Patrick.Weimerskirch2014a"/>
    <w:p>
      <w:pPr>
        <w:pStyle w:val="Bibliographie"/>
      </w:pPr>
      <w:r>
        <w:t xml:space="preserve">Patrick, S. C., and H. Weimerskirch. 2014b.</w:t>
      </w:r>
      <w:r>
        <w:t xml:space="preserve"> </w:t>
      </w:r>
      <w:hyperlink r:id="rId140">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41"/>
    <w:bookmarkStart w:id="143" w:name="ref-Paull.etal2012"/>
    <w:p>
      <w:pPr>
        <w:pStyle w:val="Bibliographie"/>
      </w:pPr>
      <w:r>
        <w:t xml:space="preserve">Paull, J. S., R. A. Martin, and D. W. Pfennig. 2012.</w:t>
      </w:r>
      <w:r>
        <w:t xml:space="preserve"> </w:t>
      </w:r>
      <w:hyperlink r:id="rId142">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43"/>
    <w:bookmarkStart w:id="145" w:name="ref-Pedersen.etal2019"/>
    <w:p>
      <w:pPr>
        <w:pStyle w:val="Bibliographie"/>
      </w:pPr>
      <w:r>
        <w:t xml:space="preserve">Pedersen, E. J., D. L. Miller, G. L. Simpson, and N. Ross. 2019.</w:t>
      </w:r>
      <w:r>
        <w:t xml:space="preserve"> </w:t>
      </w:r>
      <w:hyperlink r:id="rId144">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45"/>
    <w:bookmarkStart w:id="147" w:name="ref-Phillips.etal2017"/>
    <w:p>
      <w:pPr>
        <w:pStyle w:val="Bibliographie"/>
      </w:pPr>
      <w:r>
        <w:t xml:space="preserve">Phillips, R. A., S. Lewis, J. González-Solís, and F. Daunt. 2017.</w:t>
      </w:r>
      <w:r>
        <w:t xml:space="preserve"> </w:t>
      </w:r>
      <w:hyperlink r:id="rId146">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47"/>
    <w:bookmarkStart w:id="149" w:name="ref-Piironen.Vehtari2017"/>
    <w:p>
      <w:pPr>
        <w:pStyle w:val="Bibliographie"/>
      </w:pPr>
      <w:r>
        <w:t xml:space="preserve">Piironen, J., and A. Vehtari. 2017.</w:t>
      </w:r>
      <w:r>
        <w:t xml:space="preserve"> </w:t>
      </w:r>
      <w:hyperlink r:id="rId148">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49"/>
    <w:bookmarkStart w:id="151" w:name="ref-Pintor.etal2014"/>
    <w:p>
      <w:pPr>
        <w:pStyle w:val="Bibliographie"/>
      </w:pPr>
      <w:r>
        <w:t xml:space="preserve">Pintor, L. M., K. E. McGhee, D. P. Roche, and A. M. Bell. 2014.</w:t>
      </w:r>
      <w:r>
        <w:t xml:space="preserve"> </w:t>
      </w:r>
      <w:hyperlink r:id="rId150">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51"/>
    <w:bookmarkStart w:id="153" w:name="ref-Potier.etal2015"/>
    <w:p>
      <w:pPr>
        <w:pStyle w:val="Bibliographie"/>
      </w:pPr>
      <w:r>
        <w:t xml:space="preserve">Potier, S., A. Carpentier, D. Grémillet, B. Leroy, and A. Lescroël. 2015.</w:t>
      </w:r>
      <w:r>
        <w:t xml:space="preserve"> </w:t>
      </w:r>
      <w:hyperlink r:id="rId152">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53"/>
    <w:bookmarkStart w:id="155"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54">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55"/>
    <w:bookmarkStart w:id="157" w:name="ref-Reid.etal2010"/>
    <w:p>
      <w:pPr>
        <w:pStyle w:val="Bibliographie"/>
      </w:pPr>
      <w:r>
        <w:t xml:space="preserve">Reid, A., F. Seebacher, and A. Ward. 2010.</w:t>
      </w:r>
      <w:r>
        <w:t xml:space="preserve"> </w:t>
      </w:r>
      <w:hyperlink r:id="rId156">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57"/>
    <w:bookmarkStart w:id="159" w:name="ref-Sandbrook.etal2015"/>
    <w:p>
      <w:pPr>
        <w:pStyle w:val="Bibliographie"/>
      </w:pPr>
      <w:r>
        <w:t xml:space="preserve">Sandbrook, C., W. M. Adams, and B. Monteferri. 2015.</w:t>
      </w:r>
      <w:r>
        <w:t xml:space="preserve"> </w:t>
      </w:r>
      <w:hyperlink r:id="rId158">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59"/>
    <w:bookmarkStart w:id="161" w:name="ref-Santoro.etal2019"/>
    <w:p>
      <w:pPr>
        <w:pStyle w:val="Bibliographie"/>
      </w:pPr>
      <w:r>
        <w:t xml:space="preserve">Santoro, D., S. Hartley, and P. J. Lester. 2019.</w:t>
      </w:r>
      <w:r>
        <w:t xml:space="preserve"> </w:t>
      </w:r>
      <w:hyperlink r:id="rId160">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61"/>
    <w:bookmarkStart w:id="163" w:name="ref-Snell-Rood2013"/>
    <w:p>
      <w:pPr>
        <w:pStyle w:val="Bibliographie"/>
      </w:pPr>
      <w:r>
        <w:t xml:space="preserve">Snell-Rood, E. C. 2013.</w:t>
      </w:r>
      <w:r>
        <w:t xml:space="preserve"> </w:t>
      </w:r>
      <w:hyperlink r:id="rId162">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63"/>
    <w:bookmarkStart w:id="165" w:name="ref-Stephens1993"/>
    <w:p>
      <w:pPr>
        <w:pStyle w:val="Bibliographie"/>
      </w:pPr>
      <w:r>
        <w:t xml:space="preserve">Stephens, D. W. 1993.</w:t>
      </w:r>
      <w:r>
        <w:t xml:space="preserve"> </w:t>
      </w:r>
      <w:hyperlink r:id="rId164">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65"/>
    <w:bookmarkStart w:id="167" w:name="ref-stephens1986"/>
    <w:p>
      <w:pPr>
        <w:pStyle w:val="Bibliographie"/>
      </w:pPr>
      <w:r>
        <w:t xml:space="preserve">Stephens, D. W., and J. R. Krebs. 1986.</w:t>
      </w:r>
      <w:r>
        <w:t xml:space="preserve"> </w:t>
      </w:r>
      <w:hyperlink r:id="rId166">
        <w:r>
          <w:rPr>
            <w:rStyle w:val="Lienhypertexte"/>
          </w:rPr>
          <w:t xml:space="preserve">Foraging</w:t>
        </w:r>
        <w:r>
          <w:rPr>
            <w:rStyle w:val="Lienhypertexte"/>
          </w:rPr>
          <w:t xml:space="preserve"> </w:t>
        </w:r>
        <w:r>
          <w:rPr>
            <w:rStyle w:val="Lienhypertexte"/>
          </w:rPr>
          <w:t xml:space="preserve">Theory</w:t>
        </w:r>
      </w:hyperlink>
      <w:r>
        <w:t xml:space="preserve">.</w:t>
      </w:r>
      <w:r>
        <w:t xml:space="preserve"> </w:t>
      </w:r>
      <w:r>
        <w:t xml:space="preserve">Princeton University Press</w:t>
      </w:r>
      <w:r>
        <w:t xml:space="preserve">.</w:t>
      </w:r>
    </w:p>
    <w:bookmarkEnd w:id="167"/>
    <w:bookmarkStart w:id="169" w:name="ref-Szopa-Comley.etal2020"/>
    <w:p>
      <w:pPr>
        <w:pStyle w:val="Bibliographie"/>
      </w:pPr>
      <w:r>
        <w:t xml:space="preserve">Szopa-Comley, A. W., W. G. Donald, and C. C. Ioannou. 2020.</w:t>
      </w:r>
      <w:r>
        <w:t xml:space="preserve"> </w:t>
      </w:r>
      <w:hyperlink r:id="rId168">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69"/>
    <w:bookmarkStart w:id="171" w:name="ref-Szopa-Comley.Ioannou2022"/>
    <w:p>
      <w:pPr>
        <w:pStyle w:val="Bibliographie"/>
      </w:pPr>
      <w:r>
        <w:t xml:space="preserve">Szopa-Comley, A. W., and C. C. Ioannou. 2022.</w:t>
      </w:r>
      <w:r>
        <w:t xml:space="preserve"> </w:t>
      </w:r>
      <w:hyperlink r:id="rId170">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71"/>
    <w:bookmarkStart w:id="172"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72"/>
    <w:bookmarkStart w:id="174" w:name="ref-Tinker.etal2008"/>
    <w:p>
      <w:pPr>
        <w:pStyle w:val="Bibliographie"/>
      </w:pPr>
      <w:r>
        <w:t xml:space="preserve">Tinker, M. T., G. Bentall, and J. A. Estes. 2008.</w:t>
      </w:r>
      <w:r>
        <w:t xml:space="preserve"> </w:t>
      </w:r>
      <w:hyperlink r:id="rId173">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74"/>
    <w:bookmarkStart w:id="175"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75"/>
    <w:bookmarkStart w:id="177" w:name="Xa9f710354cc886f3275f2724e3e26c0203e8293"/>
    <w:p>
      <w:pPr>
        <w:pStyle w:val="Bibliographie"/>
      </w:pPr>
      <w:r>
        <w:t xml:space="preserve">Toscano, B. J., N. J. Gownaris, S. M. Heerhartz, and C. J. Monaco. 2016.</w:t>
      </w:r>
      <w:r>
        <w:t xml:space="preserve"> </w:t>
      </w:r>
      <w:hyperlink r:id="rId176">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77"/>
    <w:bookmarkStart w:id="179" w:name="X2d34a8037745a9f1e9ed0eb47d31f23e92657a6"/>
    <w:p>
      <w:pPr>
        <w:pStyle w:val="Bibliographie"/>
      </w:pPr>
      <w:r>
        <w:t xml:space="preserve">Toscano, B. J., and B. D. Griffen. 2014.</w:t>
      </w:r>
      <w:r>
        <w:t xml:space="preserve"> </w:t>
      </w:r>
      <w:hyperlink r:id="rId178">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79"/>
    <w:bookmarkStart w:id="181" w:name="ref-vandenBosch.etal2019"/>
    <w:p>
      <w:pPr>
        <w:pStyle w:val="Bibliographie"/>
      </w:pPr>
      <w:r>
        <w:t xml:space="preserve">van den Bosch, M., J. M. Baert, W. Müller, L. Lens, and E. W. M. Stienen. 2019.</w:t>
      </w:r>
      <w:r>
        <w:t xml:space="preserve"> </w:t>
      </w:r>
      <w:hyperlink r:id="rId180">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81"/>
    <w:bookmarkStart w:id="183" w:name="ref-Vehtari.etal2017"/>
    <w:p>
      <w:pPr>
        <w:pStyle w:val="Bibliographie"/>
      </w:pPr>
      <w:r>
        <w:t xml:space="preserve">Vehtari, A., A. Gelman, and J. Gabry. 2017.</w:t>
      </w:r>
      <w:r>
        <w:t xml:space="preserve"> </w:t>
      </w:r>
      <w:hyperlink r:id="rId182">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183"/>
    <w:bookmarkStart w:id="185" w:name="ref-Vehtari.etal2021a"/>
    <w:p>
      <w:pPr>
        <w:pStyle w:val="Bibliographie"/>
      </w:pPr>
      <w:r>
        <w:t xml:space="preserve">Vehtari, A., A. Gelman, D. Simpson, B. Carpenter, and P.-C. Bürkner. 2021.</w:t>
      </w:r>
      <w:r>
        <w:t xml:space="preserve"> </w:t>
      </w:r>
      <w:hyperlink r:id="rId184">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185"/>
    <w:bookmarkStart w:id="187" w:name="ref-Vehtari.etal2022"/>
    <w:p>
      <w:pPr>
        <w:pStyle w:val="Bibliographie"/>
      </w:pPr>
      <w:r>
        <w:t xml:space="preserve">Vehtari, A., D. Simpson, A. Gelman, Y. Yao, and J. Gabry. 2022, August.</w:t>
      </w:r>
      <w:r>
        <w:t xml:space="preserve"> </w:t>
      </w:r>
      <w:hyperlink r:id="rId186">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187"/>
    <w:bookmarkStart w:id="189" w:name="ref-Walker.etal2005"/>
    <w:p>
      <w:pPr>
        <w:pStyle w:val="Bibliographie"/>
      </w:pPr>
      <w:r>
        <w:t xml:space="preserve">Walker, J. A., C. K. Ghalambor, O. L. Griset, D. McKENNEY, and D. N. Reznick. 2005.</w:t>
      </w:r>
      <w:r>
        <w:t xml:space="preserve"> </w:t>
      </w:r>
      <w:hyperlink r:id="rId188">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189"/>
    <w:bookmarkStart w:id="191" w:name="ref-Warburton2003"/>
    <w:p>
      <w:pPr>
        <w:pStyle w:val="Bibliographie"/>
      </w:pPr>
      <w:r>
        <w:t xml:space="preserve">Warburton, K. 2003.</w:t>
      </w:r>
      <w:r>
        <w:t xml:space="preserve"> </w:t>
      </w:r>
      <w:hyperlink r:id="rId190">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191"/>
    <w:bookmarkStart w:id="193" w:name="ref-Weimerskirch2007"/>
    <w:p>
      <w:pPr>
        <w:pStyle w:val="Bibliographie"/>
      </w:pPr>
      <w:r>
        <w:t xml:space="preserve">Weimerskirch, H. 2007.</w:t>
      </w:r>
      <w:r>
        <w:t xml:space="preserve"> </w:t>
      </w:r>
      <w:hyperlink r:id="rId192">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193"/>
    <w:bookmarkStart w:id="195"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194">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195"/>
    <w:bookmarkStart w:id="197" w:name="ref-Wilson-Rankin2015"/>
    <w:p>
      <w:pPr>
        <w:pStyle w:val="Bibliographie"/>
      </w:pPr>
      <w:r>
        <w:t xml:space="preserve">Wilson-Rankin, E. E. 2015.</w:t>
      </w:r>
      <w:r>
        <w:t xml:space="preserve"> </w:t>
      </w:r>
      <w:hyperlink r:id="rId196">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197"/>
    <w:bookmarkStart w:id="199" w:name="ref-Woo.etal2008"/>
    <w:p>
      <w:pPr>
        <w:pStyle w:val="Bibliographie"/>
      </w:pPr>
      <w:r>
        <w:t xml:space="preserve">Woo, K. J., K. H. Elliott, M. Davidson, A. J. Gaston, and G. K. Davoren. 2008.</w:t>
      </w:r>
      <w:r>
        <w:t xml:space="preserve"> </w:t>
      </w:r>
      <w:hyperlink r:id="rId198">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199"/>
    <w:bookmarkStart w:id="201" w:name="ref-Wright.etal2022"/>
    <w:p>
      <w:pPr>
        <w:pStyle w:val="Bibliographie"/>
      </w:pPr>
      <w:r>
        <w:t xml:space="preserve">Wright, J., T. R. Haaland, N. J. Dingemanse, and D. F. Westneat. 2022.</w:t>
      </w:r>
      <w:r>
        <w:t xml:space="preserve"> </w:t>
      </w:r>
      <w:hyperlink r:id="rId200">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01"/>
    <w:bookmarkEnd w:id="202"/>
    <w:p>
      <w:r>
        <w:br w:type="page"/>
      </w:r>
    </w:p>
    <w:bookmarkEnd w:id="203"/>
    <w:bookmarkStart w:id="204"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04"/>
    <w:bookmarkStart w:id="205"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on the left representing the lowest predicted values. For panel A, the right-side vertical dashed lines shows the highest predicted success. For panel C, the right-side dashed line represents the point on the curve where success was optimized, which we calculated using the finite differences method to obtain the first derivative of the predicted values.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Corpsdetexte"/>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05"/>
    <w:bookmarkStart w:id="218" w:name="figures"/>
    <w:p>
      <w:pPr>
        <w:pStyle w:val="Titre1"/>
      </w:pPr>
      <w:r>
        <w:t xml:space="preserve">FIGURES</w:t>
      </w:r>
    </w:p>
    <w:p>
      <w:pPr>
        <w:pStyle w:val="CaptionedFigure"/>
      </w:pPr>
      <w:r>
        <w:drawing>
          <wp:inline>
            <wp:extent cx="5943600" cy="4842933"/>
            <wp:effectExtent b="0" l="0" r="0" t="0"/>
            <wp:docPr descr="Figure 1" title="" id="207" name="Picture"/>
            <a:graphic>
              <a:graphicData uri="http://schemas.openxmlformats.org/drawingml/2006/picture">
                <pic:pic>
                  <pic:nvPicPr>
                    <pic:cNvPr descr="D:/GitHub/Chapter2/outputs/04_outputs_figures/figure1.png" id="208" name="Picture"/>
                    <pic:cNvPicPr>
                      <a:picLocks noChangeArrowheads="1" noChangeAspect="1"/>
                    </pic:cNvPicPr>
                  </pic:nvPicPr>
                  <pic:blipFill>
                    <a:blip r:embed="rId206"/>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10" name="Picture"/>
            <a:graphic>
              <a:graphicData uri="http://schemas.openxmlformats.org/drawingml/2006/picture">
                <pic:pic>
                  <pic:nvPicPr>
                    <pic:cNvPr descr="D:/GitHub/Chapter2/outputs/04_outputs_figures/figure2.png" id="211" name="Picture"/>
                    <pic:cNvPicPr>
                      <a:picLocks noChangeArrowheads="1" noChangeAspect="1"/>
                    </pic:cNvPicPr>
                  </pic:nvPicPr>
                  <pic:blipFill>
                    <a:blip r:embed="rId209"/>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13" name="Picture"/>
            <a:graphic>
              <a:graphicData uri="http://schemas.openxmlformats.org/drawingml/2006/picture">
                <pic:pic>
                  <pic:nvPicPr>
                    <pic:cNvPr descr="D:/GitHub/Chapter2/outputs/04_outputs_figures/figure3.png" id="214" name="Picture"/>
                    <pic:cNvPicPr>
                      <a:picLocks noChangeArrowheads="1" noChangeAspect="1"/>
                    </pic:cNvPicPr>
                  </pic:nvPicPr>
                  <pic:blipFill>
                    <a:blip r:embed="rId212"/>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16" name="Picture"/>
            <a:graphic>
              <a:graphicData uri="http://schemas.openxmlformats.org/drawingml/2006/picture">
                <pic:pic>
                  <pic:nvPicPr>
                    <pic:cNvPr descr="D:/GitHub/Chapter2/outputs/04_outputs_figures/figure4.png" id="217" name="Picture"/>
                    <pic:cNvPicPr>
                      <a:picLocks noChangeArrowheads="1" noChangeAspect="1"/>
                    </pic:cNvPicPr>
                  </pic:nvPicPr>
                  <pic:blipFill>
                    <a:blip r:embed="rId215"/>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18"/>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2"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4" Target="https://doi.org/10.1007/978-1-4615-2814-2_8" TargetMode="External" /><Relationship Type="http://schemas.openxmlformats.org/officeDocument/2006/relationships/hyperlink" Id="rId150"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8"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6" Target="https://doi.org/10.1007/s00442-016-3631-4" TargetMode="External" /><Relationship Type="http://schemas.openxmlformats.org/officeDocument/2006/relationships/hyperlink" Id="rId176" Target="https://doi.org/10.1007/s00442-016-3648-8" TargetMode="External" /><Relationship Type="http://schemas.openxmlformats.org/officeDocument/2006/relationships/hyperlink" Id="rId100" Target="https://doi.org/10.1007/s10144-009-0185-x" TargetMode="External" /><Relationship Type="http://schemas.openxmlformats.org/officeDocument/2006/relationships/hyperlink" Id="rId122" Target="https://doi.org/10.1007/s10682-009-9336-y" TargetMode="External" /><Relationship Type="http://schemas.openxmlformats.org/officeDocument/2006/relationships/hyperlink" Id="rId148"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4" Target="https://doi.org/10.1016/0169-5347(92)90019-8" TargetMode="External" /><Relationship Type="http://schemas.openxmlformats.org/officeDocument/2006/relationships/hyperlink" Id="rId96" Target="https://doi.org/10.1016/B978-0-12-804327-1.00126-6" TargetMode="External" /><Relationship Type="http://schemas.openxmlformats.org/officeDocument/2006/relationships/hyperlink" Id="rId84" Target="https://doi.org/10.1016/S0003-3472(89)80010-7" TargetMode="External" /><Relationship Type="http://schemas.openxmlformats.org/officeDocument/2006/relationships/hyperlink" Id="rId162" Target="https://doi.org/10.1016/j.anbehav.2012.12.031" TargetMode="External" /><Relationship Type="http://schemas.openxmlformats.org/officeDocument/2006/relationships/hyperlink" Id="rId152"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80" Target="https://doi.org/10.1016/j.jembe.2009.10.004" TargetMode="External" /><Relationship Type="http://schemas.openxmlformats.org/officeDocument/2006/relationships/hyperlink" Id="rId154" Target="https://doi.org/10.1016/j.tree.2018.03.005"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60"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7"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73" Target="https://doi.org/10.1073/pnas.0709263105" TargetMode="External" /><Relationship Type="http://schemas.openxmlformats.org/officeDocument/2006/relationships/hyperlink" Id="rId170"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2" Target="https://doi.org/10.1080/03014223.1994.9517994" TargetMode="External" /><Relationship Type="http://schemas.openxmlformats.org/officeDocument/2006/relationships/hyperlink" Id="rId120" Target="https://doi.org/10.1086/673526" TargetMode="External" /><Relationship Type="http://schemas.openxmlformats.org/officeDocument/2006/relationships/hyperlink" Id="rId124" Target="https://doi.org/10.1093/beheco/araa123" TargetMode="External" /><Relationship Type="http://schemas.openxmlformats.org/officeDocument/2006/relationships/hyperlink" Id="rId89"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0" Target="https://doi.org/10.1098/rsbl.2014.0630" TargetMode="External" /><Relationship Type="http://schemas.openxmlformats.org/officeDocument/2006/relationships/hyperlink" Id="rId128" Target="https://doi.org/10.1098/rsos.160352" TargetMode="External" /><Relationship Type="http://schemas.openxmlformats.org/officeDocument/2006/relationships/hyperlink" Id="rId57" Target="https://doi.org/10.1098/rspb.2014.1382" TargetMode="External" /><Relationship Type="http://schemas.openxmlformats.org/officeDocument/2006/relationships/hyperlink" Id="rId178"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8" Target="https://doi.org/10.1111/cobi.13633" TargetMode="External" /><Relationship Type="http://schemas.openxmlformats.org/officeDocument/2006/relationships/hyperlink" Id="rId158" Target="https://doi.org/10.1111/conl.12113"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2" Target="https://doi.org/10.1111/j.1095-8312.2012.01982.x" TargetMode="External" /><Relationship Type="http://schemas.openxmlformats.org/officeDocument/2006/relationships/hyperlink" Id="rId98"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4"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6" Target="https://doi.org/10.1111/j.1469-7998.2011.00791.x" TargetMode="External" /><Relationship Type="http://schemas.openxmlformats.org/officeDocument/2006/relationships/hyperlink" Id="rId130"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38"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2" Target="https://doi.org/10.1890/11-2153.1" TargetMode="External" /><Relationship Type="http://schemas.openxmlformats.org/officeDocument/2006/relationships/hyperlink" Id="rId166" Target="https://doi.org/10.2307/j.ctvs32s6b" TargetMode="External" /><Relationship Type="http://schemas.openxmlformats.org/officeDocument/2006/relationships/hyperlink" Id="rId146"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4"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2" Target="https://doi.org/10.1002/9781444342536.ch3" TargetMode="External" /><Relationship Type="http://schemas.openxmlformats.org/officeDocument/2006/relationships/hyperlink" Id="rId132" Target="https://doi.org/10.1006/anbe.2000.1546" TargetMode="External" /><Relationship Type="http://schemas.openxmlformats.org/officeDocument/2006/relationships/hyperlink" Id="rId53" Target="https://doi.org/10.1006/tpbi.1997.1319" TargetMode="External" /><Relationship Type="http://schemas.openxmlformats.org/officeDocument/2006/relationships/hyperlink" Id="rId164" Target="https://doi.org/10.1007/978-1-4615-2814-2_8" TargetMode="External" /><Relationship Type="http://schemas.openxmlformats.org/officeDocument/2006/relationships/hyperlink" Id="rId150" Target="https://doi.org/10.1007/s00265-014-1779-7" TargetMode="External" /><Relationship Type="http://schemas.openxmlformats.org/officeDocument/2006/relationships/hyperlink" Id="rId196" Target="https://doi.org/10.1007/s00265-014-1861-1" TargetMode="External" /><Relationship Type="http://schemas.openxmlformats.org/officeDocument/2006/relationships/hyperlink" Id="rId51" Target="https://doi.org/10.1007/s00265-020-02833-0" TargetMode="External" /><Relationship Type="http://schemas.openxmlformats.org/officeDocument/2006/relationships/hyperlink" Id="rId168" Target="https://doi.org/10.1007/s00265-020-02854-9" TargetMode="External" /><Relationship Type="http://schemas.openxmlformats.org/officeDocument/2006/relationships/hyperlink" Id="rId108" Target="https://doi.org/10.1007/s00442-009-1415-9" TargetMode="External" /><Relationship Type="http://schemas.openxmlformats.org/officeDocument/2006/relationships/hyperlink" Id="rId126" Target="https://doi.org/10.1007/s00442-016-3631-4" TargetMode="External" /><Relationship Type="http://schemas.openxmlformats.org/officeDocument/2006/relationships/hyperlink" Id="rId176" Target="https://doi.org/10.1007/s00442-016-3648-8" TargetMode="External" /><Relationship Type="http://schemas.openxmlformats.org/officeDocument/2006/relationships/hyperlink" Id="rId100" Target="https://doi.org/10.1007/s10144-009-0185-x" TargetMode="External" /><Relationship Type="http://schemas.openxmlformats.org/officeDocument/2006/relationships/hyperlink" Id="rId122" Target="https://doi.org/10.1007/s10682-009-9336-y" TargetMode="External" /><Relationship Type="http://schemas.openxmlformats.org/officeDocument/2006/relationships/hyperlink" Id="rId148" Target="https://doi.org/10.1007/s11222-016-9649-y" TargetMode="External" /><Relationship Type="http://schemas.openxmlformats.org/officeDocument/2006/relationships/hyperlink" Id="rId182" Target="https://doi.org/10.1007/s11222-016-9696-4" TargetMode="External" /><Relationship Type="http://schemas.openxmlformats.org/officeDocument/2006/relationships/hyperlink" Id="rId112" Target="https://doi.org/10.1007/s12110-007-9019-8" TargetMode="External" /><Relationship Type="http://schemas.openxmlformats.org/officeDocument/2006/relationships/hyperlink" Id="rId94" Target="https://doi.org/10.1016/0169-5347(92)90019-8" TargetMode="External" /><Relationship Type="http://schemas.openxmlformats.org/officeDocument/2006/relationships/hyperlink" Id="rId96" Target="https://doi.org/10.1016/B978-0-12-804327-1.00126-6" TargetMode="External" /><Relationship Type="http://schemas.openxmlformats.org/officeDocument/2006/relationships/hyperlink" Id="rId84" Target="https://doi.org/10.1016/S0003-3472(89)80010-7" TargetMode="External" /><Relationship Type="http://schemas.openxmlformats.org/officeDocument/2006/relationships/hyperlink" Id="rId162" Target="https://doi.org/10.1016/j.anbehav.2012.12.031" TargetMode="External" /><Relationship Type="http://schemas.openxmlformats.org/officeDocument/2006/relationships/hyperlink" Id="rId152" Target="https://doi.org/10.1016/j.anbehav.2015.02.008" TargetMode="External" /><Relationship Type="http://schemas.openxmlformats.org/officeDocument/2006/relationships/hyperlink" Id="rId76" Target="https://doi.org/10.1016/j.anbehav.2018.05.010" TargetMode="External" /><Relationship Type="http://schemas.openxmlformats.org/officeDocument/2006/relationships/hyperlink" Id="rId65" Target="https://doi.org/10.1016/j.anbehav.2021.06.010" TargetMode="External" /><Relationship Type="http://schemas.openxmlformats.org/officeDocument/2006/relationships/hyperlink" Id="rId192" Target="https://doi.org/10.1016/j.dsr2.2006.11.013" TargetMode="External" /><Relationship Type="http://schemas.openxmlformats.org/officeDocument/2006/relationships/hyperlink" Id="rId80" Target="https://doi.org/10.1016/j.jembe.2009.10.004" TargetMode="External" /><Relationship Type="http://schemas.openxmlformats.org/officeDocument/2006/relationships/hyperlink" Id="rId154" Target="https://doi.org/10.1016/j.tree.2018.03.005" TargetMode="External" /><Relationship Type="http://schemas.openxmlformats.org/officeDocument/2006/relationships/hyperlink" Id="rId49" Target="https://doi.org/10.1016/j.tree.2020.04.006" TargetMode="External" /><Relationship Type="http://schemas.openxmlformats.org/officeDocument/2006/relationships/hyperlink" Id="rId194" Target="https://doi.org/10.1038/nature25479" TargetMode="External" /><Relationship Type="http://schemas.openxmlformats.org/officeDocument/2006/relationships/hyperlink" Id="rId160" Target="https://doi.org/10.1038/s41598-019-41791-0" TargetMode="External" /><Relationship Type="http://schemas.openxmlformats.org/officeDocument/2006/relationships/hyperlink" Id="rId67" Target="https://doi.org/10.1038/srep40734" TargetMode="External" /><Relationship Type="http://schemas.openxmlformats.org/officeDocument/2006/relationships/hyperlink" Id="rId87" Target="https://doi.org/10.1046/j.1365-2656.2003.00690.x" TargetMode="External" /><Relationship Type="http://schemas.openxmlformats.org/officeDocument/2006/relationships/hyperlink" Id="rId190" Target="https://doi.org/10.1046/j.1467-2979.2003.00125.x" TargetMode="External" /><Relationship Type="http://schemas.openxmlformats.org/officeDocument/2006/relationships/hyperlink" Id="rId173" Target="https://doi.org/10.1073/pnas.0709263105" TargetMode="External" /><Relationship Type="http://schemas.openxmlformats.org/officeDocument/2006/relationships/hyperlink" Id="rId170" Target="https://doi.org/10.1073/pnas.2117858119" TargetMode="External" /><Relationship Type="http://schemas.openxmlformats.org/officeDocument/2006/relationships/hyperlink" Id="rId63" Target="https://doi.org/10.1080/00028487.2011.603983" TargetMode="External" /><Relationship Type="http://schemas.openxmlformats.org/officeDocument/2006/relationships/hyperlink" Id="rId82" Target="https://doi.org/10.1080/03014223.1994.9517994" TargetMode="External" /><Relationship Type="http://schemas.openxmlformats.org/officeDocument/2006/relationships/hyperlink" Id="rId120" Target="https://doi.org/10.1086/673526" TargetMode="External" /><Relationship Type="http://schemas.openxmlformats.org/officeDocument/2006/relationships/hyperlink" Id="rId124" Target="https://doi.org/10.1093/beheco/araa123" TargetMode="External" /><Relationship Type="http://schemas.openxmlformats.org/officeDocument/2006/relationships/hyperlink" Id="rId89" Target="https://doi.org/10.1093/beheco/arac063" TargetMode="External" /><Relationship Type="http://schemas.openxmlformats.org/officeDocument/2006/relationships/hyperlink" Id="rId180" Target="https://doi.org/10.1093/beheco/arz016" TargetMode="External" /><Relationship Type="http://schemas.openxmlformats.org/officeDocument/2006/relationships/hyperlink" Id="rId140" Target="https://doi.org/10.1098/rsbl.2014.0630" TargetMode="External" /><Relationship Type="http://schemas.openxmlformats.org/officeDocument/2006/relationships/hyperlink" Id="rId128" Target="https://doi.org/10.1098/rsos.160352" TargetMode="External" /><Relationship Type="http://schemas.openxmlformats.org/officeDocument/2006/relationships/hyperlink" Id="rId57" Target="https://doi.org/10.1098/rspb.2014.1382" TargetMode="External" /><Relationship Type="http://schemas.openxmlformats.org/officeDocument/2006/relationships/hyperlink" Id="rId178" Target="https://doi.org/10.1111/1365-2656.12236" TargetMode="External" /><Relationship Type="http://schemas.openxmlformats.org/officeDocument/2006/relationships/hyperlink" Id="rId114" Target="https://doi.org/10.1111/1365-2656.13583" TargetMode="External" /><Relationship Type="http://schemas.openxmlformats.org/officeDocument/2006/relationships/hyperlink" Id="rId69" Target="https://doi.org/10.1111/2041-210X.12281" TargetMode="External" /><Relationship Type="http://schemas.openxmlformats.org/officeDocument/2006/relationships/hyperlink" Id="rId200" Target="https://doi.org/10.1111/brv.12879" TargetMode="External" /><Relationship Type="http://schemas.openxmlformats.org/officeDocument/2006/relationships/hyperlink" Id="rId78" Target="https://doi.org/10.1111/cobi.13633" TargetMode="External" /><Relationship Type="http://schemas.openxmlformats.org/officeDocument/2006/relationships/hyperlink" Id="rId158" Target="https://doi.org/10.1111/conl.12113" TargetMode="External" /><Relationship Type="http://schemas.openxmlformats.org/officeDocument/2006/relationships/hyperlink" Id="rId71" Target="https://doi.org/10.1111/ele.12970" TargetMode="External" /><Relationship Type="http://schemas.openxmlformats.org/officeDocument/2006/relationships/hyperlink" Id="rId118" Target="https://doi.org/10.1111/eth.13272" TargetMode="External" /><Relationship Type="http://schemas.openxmlformats.org/officeDocument/2006/relationships/hyperlink" Id="rId59" Target="https://doi.org/10.1111/evo.12233" TargetMode="External" /><Relationship Type="http://schemas.openxmlformats.org/officeDocument/2006/relationships/hyperlink" Id="rId74" Target="https://doi.org/10.1111/evo.14427" TargetMode="External" /><Relationship Type="http://schemas.openxmlformats.org/officeDocument/2006/relationships/hyperlink" Id="rId142" Target="https://doi.org/10.1111/j.1095-8312.2012.01982.x" TargetMode="External" /><Relationship Type="http://schemas.openxmlformats.org/officeDocument/2006/relationships/hyperlink" Id="rId98" Target="https://doi.org/10.1111/j.1095-8649.1992.tb03870.x" TargetMode="External" /><Relationship Type="http://schemas.openxmlformats.org/officeDocument/2006/relationships/hyperlink" Id="rId188" Target="https://doi.org/10.1111/j.1365-2435.2005.01033.x" TargetMode="External" /><Relationship Type="http://schemas.openxmlformats.org/officeDocument/2006/relationships/hyperlink" Id="rId198" Target="https://doi.org/10.1111/j.1365-2656.2008.01429.x" TargetMode="External" /><Relationship Type="http://schemas.openxmlformats.org/officeDocument/2006/relationships/hyperlink" Id="rId134" Target="https://doi.org/10.1111/j.1365-2656.2009.01600.x" TargetMode="External" /><Relationship Type="http://schemas.openxmlformats.org/officeDocument/2006/relationships/hyperlink" Id="rId47" Target="https://doi.org/10.1111/j.1461-0248.2011.01662.x" TargetMode="External" /><Relationship Type="http://schemas.openxmlformats.org/officeDocument/2006/relationships/hyperlink" Id="rId110" Target="https://doi.org/10.1111/j.1467-9876.2006.00538.x" TargetMode="External" /><Relationship Type="http://schemas.openxmlformats.org/officeDocument/2006/relationships/hyperlink" Id="rId136" Target="https://doi.org/10.1111/j.1469-7998.2011.00791.x" TargetMode="External" /><Relationship Type="http://schemas.openxmlformats.org/officeDocument/2006/relationships/hyperlink" Id="rId130" Target="https://doi.org/10.1111/oik.03642" TargetMode="External" /><Relationship Type="http://schemas.openxmlformats.org/officeDocument/2006/relationships/hyperlink" Id="rId116" Target="https://doi.org/10.1111/oik.08143" TargetMode="External" /><Relationship Type="http://schemas.openxmlformats.org/officeDocument/2006/relationships/hyperlink" Id="rId45" Target="https://doi.org/10.1146/annurev.ecolsys.31.1.79" TargetMode="External" /><Relationship Type="http://schemas.openxmlformats.org/officeDocument/2006/relationships/hyperlink" Id="rId156" Target="https://doi.org/10.1163/000579509X12512871386137" TargetMode="External" /><Relationship Type="http://schemas.openxmlformats.org/officeDocument/2006/relationships/hyperlink" Id="rId184" Target="https://doi.org/10.1214/20-BA1221" TargetMode="External" /><Relationship Type="http://schemas.openxmlformats.org/officeDocument/2006/relationships/hyperlink" Id="rId138" Target="https://doi.org/10.1371/journal.pone.0087269" TargetMode="External" /><Relationship Type="http://schemas.openxmlformats.org/officeDocument/2006/relationships/hyperlink" Id="rId61" Target="https://doi.org/10.18637/jss.v080.i01" TargetMode="External" /><Relationship Type="http://schemas.openxmlformats.org/officeDocument/2006/relationships/hyperlink" Id="rId104" Target="https://doi.org/10.1890/0012-9658(2006)87[1599:RPPIAP]2.0.CO;2" TargetMode="External" /><Relationship Type="http://schemas.openxmlformats.org/officeDocument/2006/relationships/hyperlink" Id="rId106" Target="https://doi.org/10.1890/08-0238.1" TargetMode="External" /><Relationship Type="http://schemas.openxmlformats.org/officeDocument/2006/relationships/hyperlink" Id="rId92" Target="https://doi.org/10.1890/11-2153.1" TargetMode="External" /><Relationship Type="http://schemas.openxmlformats.org/officeDocument/2006/relationships/hyperlink" Id="rId166" Target="https://doi.org/10.2307/j.ctvs32s6b" TargetMode="External" /><Relationship Type="http://schemas.openxmlformats.org/officeDocument/2006/relationships/hyperlink" Id="rId146" Target="https://doi.org/10.3354/meps12217" TargetMode="External" /><Relationship Type="http://schemas.openxmlformats.org/officeDocument/2006/relationships/hyperlink" Id="rId55" Target="https://doi.org/10.3354/meps244235" TargetMode="External" /><Relationship Type="http://schemas.openxmlformats.org/officeDocument/2006/relationships/hyperlink" Id="rId186" Target="https://doi.org/10.48550/arXiv.1507.02646" TargetMode="External" /><Relationship Type="http://schemas.openxmlformats.org/officeDocument/2006/relationships/hyperlink" Id="rId144"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in a virtual predator-prey system</dc:title>
  <dc:creator/>
  <cp:keywords/>
  <dcterms:created xsi:type="dcterms:W3CDTF">2023-06-14T16:50:38Z</dcterms:created>
  <dcterms:modified xsi:type="dcterms:W3CDTF">2023-06-14T16:50:38Z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ecology.csl</vt:lpwstr>
  </property>
  <property fmtid="{D5CDD505-2E9C-101B-9397-08002B2CF9AE}" pid="4" name="output">
    <vt:lpwstr/>
  </property>
</Properties>
</file>