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1.png" ContentType="image/png"/>
  <Override PartName="/word/media/rId34.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and</w:t>
      </w:r>
      <w:r>
        <w:t xml:space="preserve"> </w:t>
      </w:r>
      <w:r>
        <w:t xml:space="preserve">prey</w:t>
      </w:r>
      <w:r>
        <w:t xml:space="preserve"> </w:t>
      </w:r>
      <w:r>
        <w:t xml:space="preserve">variability</w:t>
      </w:r>
      <w:r>
        <w:t xml:space="preserve"> </w:t>
      </w:r>
      <w:r>
        <w:t xml:space="preserve">jointly</w:t>
      </w:r>
      <w:r>
        <w:t xml:space="preserve"> </w:t>
      </w:r>
      <w:r>
        <w:t xml:space="preserve">shape</w:t>
      </w:r>
      <w:r>
        <w:t xml:space="preserve"> </w:t>
      </w:r>
      <w:r>
        <w:t xml:space="preserve">individual</w:t>
      </w:r>
      <w:r>
        <w:t xml:space="preserve"> </w:t>
      </w:r>
      <w:r>
        <w:t xml:space="preserve">foraging</w:t>
      </w:r>
      <w:r>
        <w:t xml:space="preserve"> </w:t>
      </w:r>
      <w:r>
        <w:t xml:space="preserve">specialisation</w:t>
      </w:r>
      <w:r>
        <w:t xml:space="preserve"> </w:t>
      </w:r>
      <w:r>
        <w:t xml:space="preserve">in</w:t>
      </w:r>
      <w:r>
        <w:t xml:space="preserve"> </w:t>
      </w:r>
      <w:r>
        <w:t xml:space="preserve">a</w:t>
      </w:r>
      <w:r>
        <w:t xml:space="preserve"> </w:t>
      </w:r>
      <w:r>
        <w:t xml:space="preserve">predator-prey</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are often composed of assemblages of individuals specializing in different foraging strategies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the development of hunting experience may be essential to maintain foraging success, we have have limited evidence for its role in predator foraging specialization, and the ecological/fitness consequences of such among individual behavioral differences for predator-prey interactions</w:t>
      </w:r>
      <w:r>
        <w:t xml:space="preserve"> </w:t>
      </w:r>
      <w:r>
        <w:t xml:space="preserve">(Dukas 2019)</w:t>
      </w:r>
      <w:r>
        <w:t xml:space="preserve">.</w:t>
      </w:r>
    </w:p>
    <w:p>
      <w:pPr>
        <w:pStyle w:val="BodyText"/>
      </w:pPr>
      <w:r>
        <w:t xml:space="preserve">The integration of individual behavioral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behavioral interactions, at the individual level, is the need of collecting data simultaneously on both the predator and prey. We have recently demonstrated with behavioral data from an online predator-prey videogame that virtual systems can help in overcoming this challenge, and uncover details on the mechanisms shaping these interactions</w:t>
      </w:r>
      <w:r>
        <w:t xml:space="preserve"> </w:t>
      </w:r>
      <w:r>
        <w:t xml:space="preserve">(Fraser Franco</w:t>
      </w:r>
      <w:r>
        <w:t xml:space="preserve"> </w:t>
      </w:r>
      <w:r>
        <w:rPr>
          <w:iCs/>
          <w:i/>
        </w:rPr>
        <w:t xml:space="preserve">et al.</w:t>
      </w:r>
      <w:r>
        <w:t xml:space="preserve"> </w:t>
      </w:r>
      <w:r>
        <w:t xml:space="preserve">2022)</w:t>
      </w:r>
      <w:r>
        <w:t xml:space="preserve">. For instance, we tested the classical locomotor crossover hypothesis championed by</w:t>
      </w:r>
      <w:r>
        <w:t xml:space="preserve"> </w:t>
      </w:r>
      <w:r>
        <w:t xml:space="preserve">Huey &amp; Pianka (1981)</w:t>
      </w:r>
      <w:r>
        <w:t xml:space="preserve">, and found support of its predictions only for active hunters, which concords with a recent experiment involving assassin bugs</w:t>
      </w:r>
      <w:r>
        <w:t xml:space="preserve"> </w:t>
      </w:r>
      <w:r>
        <w:t xml:space="preserve">(Matsumura &amp; Miyatake 2022)</w:t>
      </w:r>
      <w:r>
        <w:t xml:space="preserve">. Thus, virtual systems may be useful in identifying general ecological patterns, which may in turn help in advancing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behavior on individual predator foraging specialization along with its potential fitness consequences.</w:t>
      </w:r>
    </w:p>
    <w:p>
      <w:pPr>
        <w:pStyle w:val="BodyText"/>
      </w:pPr>
      <w:r>
        <w:t xml:space="preserve">The development of foraging strategies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favor one strategy over the other. This is reflected in the literature showing contrasting results in the links between specialization and fitness. For instance, some studies report increasing benefits of specializing</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advances that when resources are predictable, individual specialists should have higher delivery rates by reducing the energy and time required to search for and handle prey. In contrast, individual generalists should be advantaged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behavioral interactions are simultaneously monitored between predator and prey individuals.</w:t>
      </w:r>
    </w:p>
    <w:p>
      <w:pPr>
        <w:pStyle w:val="BodyText"/>
      </w:pPr>
      <w:r>
        <w:t xml:space="preserve">In this study, we analyze individual behavioral data from players in</w:t>
      </w:r>
      <w:r>
        <w:t xml:space="preserve"> </w:t>
      </w:r>
      <w:r>
        <w:rPr>
          <w:iCs/>
          <w:i/>
        </w:rPr>
        <w:t xml:space="preserve">Dead by Daylight</w:t>
      </w:r>
      <w:r>
        <w:t xml:space="preserve"> </w:t>
      </w:r>
      <w:r>
        <w:t xml:space="preserve">(</w:t>
      </w:r>
      <w:r>
        <w:rPr>
          <w:iCs/>
          <w:i/>
        </w:rPr>
        <w:t xml:space="preserve">DBD</w:t>
      </w:r>
      <w:r>
        <w:t xml:space="preserve">) to test how hunting expertise and prey behavior shape predator foraging specialization.</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behavioral interaction as both the predator and the four prey are measured simultaneously in each trial. First, we investigate how predators developed their individual hunting expertise. We hypothesize that predators should differ in the development of their expertise because they encounter varying levels of difficulty with the prey that they hunt. Second, we test the hypothesis that individual variation in foraging behavior will change with experience. If experience reduces the costs of switching between hunting tactics, we predict that individual predators should become more flexible with time. Alternatively, if experience enables the refinement of the hunting tactics, then individuals may instead specialize. Third, we evaluate how predator foraging specialization interacts with variation in prey behavior. Whether predators specialize or not with experience may depend on the behavior of their prey, for instance, as it may be harder to specialize when encounters are less predictable. Lastly, if individuals differ in their degree of foraging specialization, then we expect specialist hunters to fare better when prey variability is lower, while flexible hunters should fare better when prey variability is higher.</w:t>
      </w:r>
    </w:p>
    <w:p>
      <w:r>
        <w:br w:type="page"/>
      </w:r>
    </w:p>
    <w:bookmarkEnd w:id="21"/>
    <w:bookmarkStart w:id="30"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horror asymmetric multiplayer online game developed by Behavior Interactive Inc. In this game, players get to chose if they wish to play has a predator or a prey. The objective of the predator player is to hunt and capture the four prey players across a virtual environment. The objective of the four prey players is to forage for resources while avoiding the predator. The resources are in the form of power generators that once activated, will enable the prey to escape through one of two exit doors. The composition of the predator and prey group for a match is determined by a skill-based matchmaking algorithm. A match ends when the predator kills all the prey available (i.e. that haven’t escaped), or when the last remaining prey escapes the virtual environment. Each player, predator or prey, can chose an avatar with abilities that encourage specific play styles (e.g. bolder vs cautious prey, or ambush vs roaming predator). During our study period, the game offered 23 playable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behavior and hunting success across the environments, probably due to a game feature enabling predators to have visual cues on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Individual predators in</w:t>
      </w:r>
      <w:r>
        <w:t xml:space="preserve"> </w:t>
      </w:r>
      <w:r>
        <w:rPr>
          <w:iCs/>
          <w:i/>
        </w:rPr>
        <w:t xml:space="preserve">DBD</w:t>
      </w:r>
      <w:r>
        <w:t xml:space="preserve"> </w:t>
      </w:r>
      <w:r>
        <w:t xml:space="preserve">display variation in the hunting strategies that they use. Some specialize at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They also display flexibility in the use of these tactics by switching between them across matches. The expression of these tactics and their success is also shaped by the behavior of the prey group. The prey need to forage for resources while maintaining a high level of attention on the predator cues to avoid being detected and chased. Some prey contribute to the group’s success by healing or helping others escape the predator, while other self-centered individuals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chose the right way to capture them. Thus,</w:t>
      </w:r>
      <w:r>
        <w:t xml:space="preserve"> </w:t>
      </w:r>
      <w:r>
        <w:rPr>
          <w:iCs/>
          <w:i/>
        </w:rPr>
        <w:t xml:space="preserve">DBD</w:t>
      </w:r>
      <w:r>
        <w:t xml:space="preserve"> </w:t>
      </w:r>
      <w:r>
        <w:t xml:space="preserve">simulates a highly dynamic system where both predators and prey must constantly adapt to each other to be successful.</w:t>
      </w:r>
    </w:p>
    <w:bookmarkEnd w:id="22"/>
    <w:bookmarkStart w:id="23" w:name="data-collection"/>
    <w:p>
      <w:pPr>
        <w:pStyle w:val="Heading2"/>
      </w:pPr>
      <w:r>
        <w:t xml:space="preserve">Data collection</w:t>
      </w:r>
    </w:p>
    <w:p>
      <w:pPr>
        <w:pStyle w:val="FirstParagraph"/>
      </w:pPr>
      <w:r>
        <w:t xml:space="preserve">We were provided raw data by the videogame company that spanned a period of 6 months of gameplay recorded for every player. The first recorded match was played on 2020-12-01, and the last one on 2021-06-01. We applied cleaning and filtering procedures on the raw data to produce a synthetic dataset for our analyses. We only analyzed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These matches were not considered as player experience. We then proceeded to partition the player population by total experience, and randomly sampled players to have a uniform representation of total gameplay experience. To optimize the representation of gameplay experience at advanced levels, we set the maximum amount of matches at 500 for these players. For instance, there could be a large difference in gameplay between 300-500 and 500-1000 matches. Players that played above 500 matches represented only ~2% of the population.</w:t>
      </w:r>
    </w:p>
    <w:p>
      <w:pPr>
        <w:pStyle w:val="BodyText"/>
      </w:pPr>
      <w:r>
        <w:t xml:space="preserve">Our population consists of 341 predator players with a total record of 87908 matches. The predator players’ experience varied between 5 and 500 matches played. These matches lasted between 3 and 35 minutes (mean = 11). For every match, we report the predator player’s anonymous ID, its avatar, the game environment, the predator 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per second traveled during a match (m/s) (mean = 3.28, sd = 0.56). For the prey, we averaged the travel speed of the four individuals within a match to obtain the average speed of the group, also measured in meters per second (mean = 2.39, sd = mean = 0.32). Hunting success was defined as the number of prey consumed during the match (min = 0, max = 4). Lastly, the predator’s cumulative experience was defined as the number of matches played prior to the match being monitored. For example, the first match of a player would have a cumulative experience value of 0, while the tenth match would have a value of 9.</w:t>
      </w:r>
    </w:p>
    <w:bookmarkEnd w:id="24"/>
    <w:bookmarkStart w:id="29"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by computing 3 Bayesian generalized additive mixed models (GAMM) with thin plate regression splines estimating the relationship between hunting success (i.e. number of prey captured) and the predators’ cumulative experience (i.e. number of matches played before the current match). We parametrized the models following the method by</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For all three models, we controlled for the match duration.</w:t>
      </w:r>
    </w:p>
    <w:p>
      <w:pPr>
        <w:pStyle w:val="BodyText"/>
      </w:pPr>
      <w:r>
        <w:t xml:space="preserve">Because a maximum of four prey can be captured in the game, we used the beta-binomial family distribution to estimate the probability of capturing all prey while controlling for overdispersion. The model parameters were estimated with a logit link function, while the dispersion parameter (</w:t>
      </w:r>
      <m:oMath>
        <m:r>
          <m:t>ϕ</m:t>
        </m:r>
      </m:oMath>
      <w:r>
        <w:t xml:space="preserve">) was estimated with an identity link for all models. The probability of capturing the four prey</w:t>
      </w:r>
      <w:r>
        <w:t xml:space="preserve"> </w:t>
      </w:r>
      <m:oMath>
        <m:sSub>
          <m:e>
            <m:r>
              <m:t>P</m:t>
            </m:r>
          </m:e>
          <m:sub>
            <m:r>
              <m:t>i</m:t>
            </m:r>
          </m:sub>
        </m:sSub>
      </m:oMath>
      <w:r>
        <w:t xml:space="preserve"> </w:t>
      </w:r>
      <w:r>
        <w:t xml:space="preserve">is drawn from a Beta distribution (</w:t>
      </w:r>
      <m:oMath>
        <m:sSub>
          <m:e>
            <m:r>
              <m:t>P</m:t>
            </m:r>
          </m:e>
          <m:sub>
            <m:r>
              <m:t>i</m:t>
            </m:r>
          </m:sub>
        </m:sSub>
        <m:r>
          <m:rPr>
            <m:sty m:val="p"/>
          </m:rPr>
          <m:t>∼</m:t>
        </m:r>
        <m:r>
          <m:t>B</m:t>
        </m:r>
        <m:r>
          <m:t>e</m:t>
        </m:r>
        <m:r>
          <m:t>t</m:t>
        </m:r>
        <m:r>
          <m:t>a</m:t>
        </m:r>
        <m:d>
          <m:dPr>
            <m:begChr m:val="("/>
            <m:endChr m:val=")"/>
            <m:sepChr m:val=""/>
            <m:grow/>
          </m:dPr>
          <m:e>
            <m:sSub>
              <m:e>
                <m:r>
                  <m:t>a</m:t>
                </m:r>
              </m:e>
              <m:sub>
                <m:r>
                  <m:t>i</m:t>
                </m:r>
              </m:sub>
            </m:sSub>
            <m:r>
              <m:rPr>
                <m:sty m:val="p"/>
              </m:rPr>
              <m:t>,</m:t>
            </m:r>
            <m:sSub>
              <m:e>
                <m:r>
                  <m:t>b</m:t>
                </m:r>
              </m:e>
              <m:sub>
                <m:r>
                  <m:t>i</m:t>
                </m:r>
              </m:sub>
            </m:sSub>
          </m:e>
        </m:d>
      </m:oMath>
      <w:r>
        <w:t xml:space="preserve">) with shape (</w:t>
      </w:r>
      <m:oMath>
        <m:sSub>
          <m:e>
            <m:r>
              <m:t>a</m:t>
            </m:r>
          </m:e>
          <m:sub>
            <m:r>
              <m:t>i</m:t>
            </m:r>
          </m:sub>
        </m:sSub>
        <m:r>
          <m:rPr>
            <m:sty m:val="p"/>
          </m:rPr>
          <m:t>=</m:t>
        </m:r>
        <m:f>
          <m:fPr>
            <m:type m:val="bar"/>
          </m:fPr>
          <m:num>
            <m:sSub>
              <m:e>
                <m:r>
                  <m:t>P</m:t>
                </m:r>
              </m:e>
              <m:sub>
                <m:r>
                  <m:t>i</m:t>
                </m:r>
              </m:sub>
            </m:sSub>
          </m:num>
          <m:den>
            <m:r>
              <m:t>ϕ</m:t>
            </m:r>
          </m:den>
        </m:f>
      </m:oMath>
      <w:r>
        <w:t xml:space="preserve">) and scale (</w:t>
      </w:r>
      <m:oMath>
        <m:sSub>
          <m:e>
            <m:r>
              <m:t>b</m:t>
            </m:r>
          </m:e>
          <m:sub>
            <m:r>
              <m:t>i</m:t>
            </m:r>
          </m:sub>
        </m:sSub>
        <m:r>
          <m:rPr>
            <m:sty m:val="p"/>
          </m:rPr>
          <m:t>=</m:t>
        </m:r>
        <m:f>
          <m:fPr>
            <m:type m:val="bar"/>
          </m:fPr>
          <m:num>
            <m:r>
              <m:t>1</m:t>
            </m:r>
            <m:r>
              <m:rPr>
                <m:sty m:val="p"/>
              </m:rPr>
              <m:t>−</m:t>
            </m:r>
            <m:sSub>
              <m:e>
                <m:r>
                  <m:t>P</m:t>
                </m:r>
              </m:e>
              <m:sub>
                <m:r>
                  <m:t>i</m:t>
                </m:r>
              </m:sub>
            </m:sSub>
          </m:num>
          <m:den>
            <m:r>
              <m:t>ϕ</m:t>
            </m:r>
          </m:den>
        </m:f>
      </m:oMath>
      <w:r>
        <w:t xml:space="preserve">) parameters. We employed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sSub>
          <m:e>
            <m:r>
              <m:t>d</m:t>
            </m:r>
          </m:e>
          <m:sub>
            <m:r>
              <m:t>0</m:t>
            </m:r>
            <m:r>
              <m:rPr>
                <m:sty m:val="p"/>
              </m:rPr>
              <m:t>,</m:t>
            </m:r>
            <m:r>
              <m:t>i</m:t>
            </m:r>
          </m:sub>
        </m:sSub>
      </m:oMath>
      <w:r>
        <w:t xml:space="preserve">) followed a Gaussian distribution with estimated variance (</w:t>
      </w:r>
      <m:oMath>
        <m:r>
          <m:t>i</m:t>
        </m:r>
        <m:sSub>
          <m:e>
            <m:r>
              <m:t>d</m:t>
            </m:r>
          </m:e>
          <m:sub>
            <m:r>
              <m:t>0</m:t>
            </m:r>
            <m:r>
              <m:rPr>
                <m:sty m:val="p"/>
              </m:rPr>
              <m:t>,</m:t>
            </m:r>
            <m:r>
              <m:t>i</m:t>
            </m:r>
          </m:sub>
        </m:sSub>
        <m:r>
          <m:rPr>
            <m:sty m:val="p"/>
          </m:rPr>
          <m:t>∼</m:t>
        </m:r>
        <m:r>
          <m:t>N</m:t>
        </m:r>
        <m:d>
          <m:dPr>
            <m:begChr m:val="("/>
            <m:endChr m:val=")"/>
            <m:sepChr m:val=""/>
            <m:grow/>
          </m:dPr>
          <m:e>
            <m:r>
              <m:t>0</m:t>
            </m:r>
            <m:r>
              <m:rPr>
                <m:sty m:val="p"/>
              </m:rPr>
              <m:t>,</m:t>
            </m:r>
            <m:sSub>
              <m:e>
                <m:r>
                  <m:t>V</m:t>
                </m:r>
              </m:e>
              <m:sub>
                <m:r>
                  <m:t>i</m:t>
                </m:r>
                <m:r>
                  <m:t>d</m:t>
                </m:r>
              </m:sub>
            </m:sSub>
          </m:e>
        </m:d>
      </m:oMath>
      <w:r>
        <w:t xml:space="preserve">). We parametrized all models to run 4 MCMC chains with 1000 posterior samples. We ran 2500 iterations for the first model with a thinning set to 8, and 1500 iterations with a thinning set to 4 for the second and third models. The first 500 iterations were used as warmups. We provide a description on how we specified the priors for each model in the supporting information. After fitting the 3 models, we proceeded to select the one with the best predictive accuracy using approximate leave-one-out cross-validation with Pareto-smoothed importance sampling</w:t>
      </w:r>
      <w:r>
        <w:t xml:space="preserve"> </w:t>
      </w:r>
      <w:r>
        <w:t xml:space="preserve">(Vehtari</w:t>
      </w:r>
      <w:r>
        <w:t xml:space="preserve"> </w:t>
      </w:r>
      <w:r>
        <w:rPr>
          <w:iCs/>
          <w:i/>
        </w:rPr>
        <w:t xml:space="preserve">et al.</w:t>
      </w:r>
      <w:r>
        <w:t xml:space="preserve"> </w:t>
      </w:r>
      <w:r>
        <w:t xml:space="preserve">2017)</w:t>
      </w:r>
      <w:r>
        <w:t xml:space="preserve">.</w:t>
      </w:r>
    </w:p>
    <w:bookmarkEnd w:id="27"/>
    <w:bookmarkStart w:id="28" w:name="X1ae58400c4e95e3f8bbb2be7b5e0cb659a763d8"/>
    <w:p>
      <w:pPr>
        <w:pStyle w:val="Heading3"/>
      </w:pPr>
      <w:r>
        <w:t xml:space="preserve">Foraging behavior and success, prey behavior, and their relationships, at each level of experience</w:t>
      </w:r>
    </w:p>
    <w:p>
      <w:pPr>
        <w:pStyle w:val="FirstParagraph"/>
      </w:pPr>
      <w:r>
        <w:t xml:space="preserve">We proceeded to test whether foraging behavior changes with experience, and compare the success of generalists vs specialists, using a multivariate double hierarchical linear model (MDHLM)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w:t>
      </w:r>
    </w:p>
    <w:p>
      <w:pPr>
        <w:pStyle w:val="BodyText"/>
      </w:pPr>
      <w:r>
        <w:t xml:space="preserve">expliquer comment j’ai partitionné l’expérience basée sur les résultats du GAMM</w:t>
      </w:r>
      <w:r>
        <w:t xml:space="preserve"> </w:t>
      </w:r>
      <w:r>
        <w:t xml:space="preserve">expliquer que j’ai calculé le coefficient de variation pour comparer le comportement</w:t>
      </w:r>
    </w:p>
    <w:p>
      <w:r>
        <w:br w:type="page"/>
      </w:r>
    </w:p>
    <w:bookmarkEnd w:id="28"/>
    <w:bookmarkEnd w:id="29"/>
    <w:bookmarkEnd w:id="30"/>
    <w:bookmarkStart w:id="41"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Contrary to our predictions, individual predators did not differ in the development of their expertise, as the best model was the one with a general population trend with varying intercepts only (Table x.). Moreover, we did not detect a relationship between experience (i.e. the cumulative amount of matches played) and hunting success, such that players did not optimize their success with increasing experience as we expected (Figure 1 A). However, predators did differ in their average hunting success across the study period (Figure 1 B).</w:t>
      </w:r>
    </w:p>
    <w:p>
      <w:pPr>
        <w:pStyle w:val="BodyText"/>
      </w:pPr>
    </w:p>
    <w:p>
      <w:pPr>
        <w:pStyle w:val="BodyText"/>
      </w:pPr>
      <w:r>
        <w:t xml:space="preserve">blablabla</w:t>
      </w:r>
    </w:p>
    <w:p>
      <w:pPr>
        <w:pStyle w:val="TableCaption"/>
      </w:pPr>
      <w:r>
        <w:rPr>
          <w:rFonts/>
          <w:b w:val="true"/>
        </w:rPr>
        <w:t xml:space="preserve">Table </w:t>
      </w:r>
      <w:bookmarkStart w:id="412ba6d8-86d0-4f41-b5b9-428733bc9b62" w:name="unnamed-chunk-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12ba6d8-86d0-4f41-b5b9-428733bc9b62"/>
      <w:r>
        <w:t xml:space="preserve">: </w:t>
      </w:r>
      <w:r>
        <w:t xml:space="preserve">Posterior mean values, standard errors, and 95% credible intervals for the GAMM with a common global smoother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526"/>
        <w:gridCol w:w="1902"/>
        <w:gridCol w:w="1279"/>
        <w:gridCol w:w="1034"/>
        <w:gridCol w:w="1034"/>
      </w:tblGrid>
      <w:tr>
        <w:trPr>
          <w:cantSplit/>
          <w:trHeight w:val="577"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Posterior mean</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Est.Error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97.5%</w:t>
            </w:r>
          </w:p>
        </w:tc>
      </w:tr>
      <w:tr>
        <w:trPr>
          <w:cantSplit/>
          <w:trHeight w:val="612"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0.135</w:t>
            </w:r>
          </w:p>
        </w:tc>
      </w:tr>
      <w:tr>
        <w:trPr>
          <w:cantSplit/>
          <w:trHeight w:val="614"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 game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0.603</w:t>
            </w:r>
          </w:p>
        </w:tc>
      </w:tr>
      <w:tr>
        <w:trPr>
          <w:cantSplit/>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1.780</w:t>
            </w:r>
          </w:p>
        </w:tc>
      </w:tr>
      <w:tr>
        <w:trPr>
          <w:cantSplit/>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f(Z cumulative xp)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0.666</w:t>
            </w:r>
          </w:p>
        </w:tc>
      </w:tr>
      <w:tr>
        <w:trPr>
          <w:cantSplit/>
          <w:trHeight w:val="615"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0.686</w:t>
            </w:r>
          </w:p>
        </w:tc>
      </w:tr>
      <w:tr>
        <w:trPr>
          <w:cantSplit/>
          <w:trHeight w:val="612" w:hRule="auto"/>
        </w:trPr>
        body6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phi</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2.063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2.097</w:t>
            </w:r>
          </w:p>
        </w:tc>
      </w:tr>
    </w:tbl>
    <w:p>
      <w:pPr>
        <w:pStyle w:val="BodyText"/>
      </w:pPr>
      <w:r>
        <w:t xml:space="preserve">blablabla figure 2</w:t>
      </w:r>
    </w:p>
    <w:p>
      <w:pPr>
        <w:pStyle w:val="CaptionedFigure"/>
      </w:pPr>
      <w:r>
        <w:drawing>
          <wp:inline>
            <wp:extent cx="5969000" cy="2728685"/>
            <wp:effectExtent b="0" l="0" r="0" t="0"/>
            <wp:docPr descr="Figure 2. 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 title="" id="32" name="Picture"/>
            <a:graphic>
              <a:graphicData uri="http://schemas.openxmlformats.org/drawingml/2006/picture">
                <pic:pic>
                  <pic:nvPicPr>
                    <pic:cNvPr descr="C:/Users/maxim/OneDrive/Documents/GitHub/Chapter2/outputs/05_outputs_figures/05_figure2.png" id="33" name="Picture"/>
                    <pic:cNvPicPr>
                      <a:picLocks noChangeArrowheads="1" noChangeAspect="1"/>
                    </pic:cNvPicPr>
                  </pic:nvPicPr>
                  <pic:blipFill>
                    <a:blip r:embed="rId31"/>
                    <a:stretch>
                      <a:fillRect/>
                    </a:stretch>
                  </pic:blipFill>
                  <pic:spPr bwMode="auto">
                    <a:xfrm>
                      <a:off x="0" y="0"/>
                      <a:ext cx="5969000" cy="2728685"/>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Coefficient of variation for the predator’s speed and for the speed of the prey encountered at each level of experience. (A) Coefficient of variation for the among individual differences in average behavior. (B) Coefficient fo variation for the among individual differences in within individual variance (i.e. specialization).</w:t>
      </w:r>
    </w:p>
    <w:p>
      <w:pPr>
        <w:pStyle w:val="BodyText"/>
      </w:pPr>
      <w:r>
        <w:t xml:space="preserve">blablabla figure 3</w:t>
      </w:r>
    </w:p>
    <w:p>
      <w:pPr>
        <w:pStyle w:val="CaptionedFigure"/>
      </w:pPr>
      <w:r>
        <w:drawing>
          <wp:inline>
            <wp:extent cx="5969000" cy="3069771"/>
            <wp:effectExtent b="0" l="0" r="0" t="0"/>
            <wp:docPr descr="Figure 3. Title (A) Novice. (B) Advanced." title="" id="35" name="Picture"/>
            <a:graphic>
              <a:graphicData uri="http://schemas.openxmlformats.org/drawingml/2006/picture">
                <pic:pic>
                  <pic:nvPicPr>
                    <pic:cNvPr descr="C:/Users/maxim/OneDrive/Documents/GitHub/Chapter2/outputs/05_outputs_figures/05_figure3.png" id="36" name="Picture"/>
                    <pic:cNvPicPr>
                      <a:picLocks noChangeArrowheads="1" noChangeAspect="1"/>
                    </pic:cNvPicPr>
                  </pic:nvPicPr>
                  <pic:blipFill>
                    <a:blip r:embed="rId34"/>
                    <a:stretch>
                      <a:fillRect/>
                    </a:stretch>
                  </pic:blipFill>
                  <pic:spPr bwMode="auto">
                    <a:xfrm>
                      <a:off x="0" y="0"/>
                      <a:ext cx="5969000" cy="3069771"/>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Title (A) Novice. (B) Advanced.</w:t>
      </w:r>
    </w:p>
    <w:p>
      <w:pPr>
        <w:pStyle w:val="BodyText"/>
      </w:pPr>
      <w:r>
        <w:t xml:space="preserve">blablabla figure 4</w:t>
      </w:r>
    </w:p>
    <w:p>
      <w:pPr>
        <w:pStyle w:val="CaptionedFigure"/>
      </w:pPr>
      <w:r>
        <w:drawing>
          <wp:inline>
            <wp:extent cx="5969000" cy="5969000"/>
            <wp:effectExtent b="0" l="0" r="0" t="0"/>
            <wp:docPr descr="Figure 4. Title (A) and (B) Novice. (C) and (D) Advanced." title="" id="38" name="Picture"/>
            <a:graphic>
              <a:graphicData uri="http://schemas.openxmlformats.org/drawingml/2006/picture">
                <pic:pic>
                  <pic:nvPicPr>
                    <pic:cNvPr descr="C:/Users/maxim/OneDrive/Documents/GitHub/Chapter2/outputs/05_outputs_figures/05_figure4.png" id="39" name="Picture"/>
                    <pic:cNvPicPr>
                      <a:picLocks noChangeArrowheads="1" noChangeAspect="1"/>
                    </pic:cNvPicPr>
                  </pic:nvPicPr>
                  <pic:blipFill>
                    <a:blip r:embed="rId37"/>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rPr>
          <w:bCs/>
          <w:b/>
        </w:rPr>
        <w:t xml:space="preserve">Figure 4.</w:t>
      </w:r>
      <w:r>
        <w:t xml:space="preserve"> </w:t>
      </w:r>
      <w:r>
        <w:t xml:space="preserve">Title (A) and (B) Novice. (C) and (D) Advanced.</w:t>
      </w:r>
    </w:p>
    <w:p>
      <w:r>
        <w:br w:type="page"/>
      </w:r>
    </w:p>
    <w:bookmarkEnd w:id="40"/>
    <w:bookmarkEnd w:id="41"/>
    <w:bookmarkStart w:id="144" w:name="litterature-cited"/>
    <w:p>
      <w:pPr>
        <w:pStyle w:val="Heading1"/>
      </w:pPr>
      <w:r>
        <w:t xml:space="preserve">LITTERATURE CITED</w:t>
      </w:r>
    </w:p>
    <w:bookmarkStart w:id="143" w:name="refs"/>
    <w:bookmarkStart w:id="43" w:name="ref-Araujo.etal2011"/>
    <w:p>
      <w:pPr>
        <w:pStyle w:val="Bibliography"/>
      </w:pPr>
      <w:r>
        <w:t xml:space="preserve">Araújo, M.S., Bolnick, D.I. &amp; Layman, C.A. (2011).</w:t>
      </w:r>
      <w:r>
        <w:t xml:space="preserve"> </w:t>
      </w:r>
      <w:hyperlink r:id="rId42">
        <w:r>
          <w:rPr>
            <w:rStyle w:val="Hyperlink"/>
          </w:rPr>
          <w:t xml:space="preserve">The ecological causes of individual specialisation</w:t>
        </w:r>
      </w:hyperlink>
      <w:r>
        <w:t xml:space="preserve">.</w:t>
      </w:r>
      <w:r>
        <w:t xml:space="preserve"> </w:t>
      </w:r>
      <w:r>
        <w:rPr>
          <w:iCs/>
          <w:i/>
        </w:rPr>
        <w:t xml:space="preserve">Ecol. Lett.</w:t>
      </w:r>
      <w:r>
        <w:t xml:space="preserve">, 14, 948–958.</w:t>
      </w:r>
    </w:p>
    <w:bookmarkEnd w:id="43"/>
    <w:bookmarkStart w:id="45" w:name="ref-Beauchamp2020"/>
    <w:p>
      <w:pPr>
        <w:pStyle w:val="Bibliography"/>
      </w:pPr>
      <w:r>
        <w:t xml:space="preserve">Beauchamp, G. (2020).</w:t>
      </w:r>
      <w:r>
        <w:t xml:space="preserve"> </w:t>
      </w:r>
      <w:hyperlink r:id="rId44">
        <w:r>
          <w:rPr>
            <w:rStyle w:val="Hyperlink"/>
          </w:rPr>
          <w:t xml:space="preserve">Predator attack patterns influence vigilance in a virtual experiment</w:t>
        </w:r>
      </w:hyperlink>
      <w:r>
        <w:t xml:space="preserve">.</w:t>
      </w:r>
      <w:r>
        <w:t xml:space="preserve"> </w:t>
      </w:r>
      <w:r>
        <w:rPr>
          <w:iCs/>
          <w:i/>
        </w:rPr>
        <w:t xml:space="preserve">Behav Ecol Sociobiol</w:t>
      </w:r>
      <w:r>
        <w:t xml:space="preserve">, 74, 49.</w:t>
      </w:r>
    </w:p>
    <w:bookmarkEnd w:id="45"/>
    <w:bookmarkStart w:id="47" w:name="ref-Burkner2017"/>
    <w:p>
      <w:pPr>
        <w:pStyle w:val="Bibliography"/>
      </w:pPr>
      <w:r>
        <w:t xml:space="preserve">Bürkner, P.-C. (2017).</w:t>
      </w:r>
      <w:r>
        <w:t xml:space="preserve"> </w:t>
      </w:r>
      <w:hyperlink r:id="rId46">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 Stat. Softw.</w:t>
      </w:r>
      <w:r>
        <w:t xml:space="preserve">, 80, 1–28.</w:t>
      </w:r>
    </w:p>
    <w:bookmarkEnd w:id="47"/>
    <w:bookmarkStart w:id="49" w:name="ref-Cere.etal2021"/>
    <w:p>
      <w:pPr>
        <w:pStyle w:val="Bibliography"/>
      </w:pPr>
      <w:r>
        <w:t xml:space="preserve">Céré, J., Montiglio, P.-O. &amp; Kelly, C.D. (2021).</w:t>
      </w:r>
      <w:r>
        <w:t xml:space="preserve"> </w:t>
      </w:r>
      <w:hyperlink r:id="rId48">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49"/>
    <w:bookmarkStart w:id="51" w:name="ref-Chang.etal2017"/>
    <w:p>
      <w:pPr>
        <w:pStyle w:val="Bibliography"/>
      </w:pPr>
      <w:r>
        <w:t xml:space="preserve">Chang, C., Teo, H.Y., Norma-Rashid, Y. &amp; Li, D. (2017).</w:t>
      </w:r>
      <w:r>
        <w:t xml:space="preserve"> </w:t>
      </w:r>
      <w:hyperlink r:id="rId50">
        <w:r>
          <w:rPr>
            <w:rStyle w:val="Hyperlink"/>
          </w:rPr>
          <w:t xml:space="preserve">Predator personality and prey behavioural predictability jointly determine foraging performance</w:t>
        </w:r>
      </w:hyperlink>
      <w:r>
        <w:t xml:space="preserve">.</w:t>
      </w:r>
      <w:r>
        <w:t xml:space="preserve"> </w:t>
      </w:r>
      <w:r>
        <w:rPr>
          <w:iCs/>
          <w:i/>
        </w:rPr>
        <w:t xml:space="preserve">Sci. Rep.</w:t>
      </w:r>
      <w:r>
        <w:t xml:space="preserve">, 7, 40734.</w:t>
      </w:r>
    </w:p>
    <w:bookmarkEnd w:id="51"/>
    <w:bookmarkStart w:id="53" w:name="X8f96d1d7960a4ec81bae6d97ed75b01618a8636"/>
    <w:p>
      <w:pPr>
        <w:pStyle w:val="Bibliography"/>
      </w:pPr>
      <w:r>
        <w:t xml:space="preserve">Cleasby, I.R., Nakagawa, S. &amp; Schielzeth, H. (2015).</w:t>
      </w:r>
      <w:r>
        <w:t xml:space="preserve"> </w:t>
      </w:r>
      <w:hyperlink r:id="rId52">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Ecol. Evol.</w:t>
      </w:r>
      <w:r>
        <w:t xml:space="preserve">, 6, 27–37.</w:t>
      </w:r>
    </w:p>
    <w:bookmarkEnd w:id="53"/>
    <w:bookmarkStart w:id="55"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54">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 Lett.</w:t>
      </w:r>
      <w:r>
        <w:t xml:space="preserve">, 21, 1043–1054.</w:t>
      </w:r>
    </w:p>
    <w:bookmarkEnd w:id="55"/>
    <w:bookmarkStart w:id="57" w:name="ref-Davoren.etal2003"/>
    <w:p>
      <w:pPr>
        <w:pStyle w:val="Bibliography"/>
      </w:pPr>
      <w:r>
        <w:t xml:space="preserve">Davoren, G.K., Montevecchi, W.A. &amp; Anderson, J.T. (2003).</w:t>
      </w:r>
      <w:r>
        <w:t xml:space="preserve"> </w:t>
      </w:r>
      <w:hyperlink r:id="rId56">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 Monogr.</w:t>
      </w:r>
      <w:r>
        <w:t xml:space="preserve">, 73, 463–481.</w:t>
      </w:r>
    </w:p>
    <w:bookmarkEnd w:id="57"/>
    <w:bookmarkStart w:id="58"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58"/>
    <w:bookmarkStart w:id="60" w:name="ref-Dukas2019"/>
    <w:p>
      <w:pPr>
        <w:pStyle w:val="Bibliography"/>
      </w:pPr>
      <w:r>
        <w:t xml:space="preserve">Dukas, R. (2019).</w:t>
      </w:r>
      <w:r>
        <w:t xml:space="preserve"> </w:t>
      </w:r>
      <w:hyperlink r:id="rId59">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60"/>
    <w:bookmarkStart w:id="62" w:name="ref-Edwards.Jackson1994"/>
    <w:p>
      <w:pPr>
        <w:pStyle w:val="Bibliography"/>
      </w:pPr>
      <w:r>
        <w:t xml:space="preserve">Edwards, G.B. &amp; Jackson, R.R. (1994).</w:t>
      </w:r>
      <w:r>
        <w:t xml:space="preserve"> </w:t>
      </w:r>
      <w:hyperlink r:id="rId61">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 Z. J. Zool.</w:t>
      </w:r>
      <w:r>
        <w:t xml:space="preserve">, 21, 269–277.</w:t>
      </w:r>
    </w:p>
    <w:bookmarkEnd w:id="62"/>
    <w:bookmarkStart w:id="64" w:name="ref-Estes.etal2003"/>
    <w:p>
      <w:pPr>
        <w:pStyle w:val="Bibliography"/>
      </w:pPr>
      <w:r>
        <w:t xml:space="preserve">Estes, J.A., Riedman, M.L., Staedler, M.M., Tinker, M.T. &amp; Lyon, B.E. (2003).</w:t>
      </w:r>
      <w:r>
        <w:t xml:space="preserve"> </w:t>
      </w:r>
      <w:hyperlink r:id="rId63">
        <w:r>
          <w:rPr>
            <w:rStyle w:val="Hyperlink"/>
          </w:rPr>
          <w:t xml:space="preserve">Individual variation in prey selection by sea otters: Patterns, causes and implications</w:t>
        </w:r>
      </w:hyperlink>
      <w:r>
        <w:t xml:space="preserve">.</w:t>
      </w:r>
      <w:r>
        <w:t xml:space="preserve"> </w:t>
      </w:r>
      <w:r>
        <w:rPr>
          <w:iCs/>
          <w:i/>
        </w:rPr>
        <w:t xml:space="preserve">J. Anim. Ecol.</w:t>
      </w:r>
      <w:r>
        <w:t xml:space="preserve">, 72, 144–155.</w:t>
      </w:r>
    </w:p>
    <w:bookmarkEnd w:id="64"/>
    <w:bookmarkStart w:id="66" w:name="ref-FraserFranco.etal2022"/>
    <w:p>
      <w:pPr>
        <w:pStyle w:val="Bibliography"/>
      </w:pPr>
      <w:r>
        <w:t xml:space="preserve">Fraser Franco, M., Santostefano, F., Kelly, C.D. &amp; Montiglio, P.-O. (2022).</w:t>
      </w:r>
      <w:r>
        <w:t xml:space="preserve"> </w:t>
      </w:r>
      <w:hyperlink r:id="rId65">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arac063.</w:t>
      </w:r>
    </w:p>
    <w:bookmarkEnd w:id="66"/>
    <w:bookmarkStart w:id="67"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67"/>
    <w:bookmarkStart w:id="69" w:name="ref-Griffen.etal2012"/>
    <w:p>
      <w:pPr>
        <w:pStyle w:val="Bibliography"/>
      </w:pPr>
      <w:r>
        <w:t xml:space="preserve">Griffen, B.D., Toscano, B.J. &amp; Gatto, J. (2012).</w:t>
      </w:r>
      <w:r>
        <w:t xml:space="preserve"> </w:t>
      </w:r>
      <w:hyperlink r:id="rId68">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69"/>
    <w:bookmarkStart w:id="71" w:name="ref-Heithaus.etal2018"/>
    <w:p>
      <w:pPr>
        <w:pStyle w:val="Bibliography"/>
      </w:pPr>
      <w:r>
        <w:t xml:space="preserve">Heithaus, M.R., Dill, L.M. &amp; Kiszka, J.J. (2018).</w:t>
      </w:r>
      <w:r>
        <w:t xml:space="preserve"> </w:t>
      </w:r>
      <w:hyperlink r:id="rId70">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71"/>
    <w:bookmarkStart w:id="73" w:name="ref-Holm.etal2019"/>
    <w:p>
      <w:pPr>
        <w:pStyle w:val="Bibliography"/>
      </w:pPr>
      <w:r>
        <w:t xml:space="preserve">Holm, M.W., Rodríguez-Torres, R., Hansen, B.W. &amp; Almeda, R. (2019).</w:t>
      </w:r>
      <w:r>
        <w:t xml:space="preserve"> </w:t>
      </w:r>
      <w:hyperlink r:id="rId72">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73"/>
    <w:bookmarkStart w:id="75" w:name="ref-Huey.Pianka1981"/>
    <w:p>
      <w:pPr>
        <w:pStyle w:val="Bibliography"/>
      </w:pPr>
      <w:r>
        <w:t xml:space="preserve">Huey, R.B. &amp; Pianka, E.R. (1981).</w:t>
      </w:r>
      <w:r>
        <w:t xml:space="preserve"> </w:t>
      </w:r>
      <w:hyperlink r:id="rId74">
        <w:r>
          <w:rPr>
            <w:rStyle w:val="Hyperlink"/>
          </w:rPr>
          <w:t xml:space="preserve">Ecological consequences of foraging mode</w:t>
        </w:r>
      </w:hyperlink>
      <w:r>
        <w:t xml:space="preserve">.</w:t>
      </w:r>
      <w:r>
        <w:t xml:space="preserve"> </w:t>
      </w:r>
      <w:r>
        <w:rPr>
          <w:iCs/>
          <w:i/>
        </w:rPr>
        <w:t xml:space="preserve">Ecology</w:t>
      </w:r>
      <w:r>
        <w:t xml:space="preserve">, 62, 991–999.</w:t>
      </w:r>
    </w:p>
    <w:bookmarkEnd w:id="75"/>
    <w:bookmarkStart w:id="77" w:name="ref-Ishii.Shimada2010"/>
    <w:p>
      <w:pPr>
        <w:pStyle w:val="Bibliography"/>
      </w:pPr>
      <w:r>
        <w:t xml:space="preserve">Ishii, Y. &amp; Shimada, M. (2010).</w:t>
      </w:r>
      <w:r>
        <w:t xml:space="preserve"> </w:t>
      </w:r>
      <w:hyperlink r:id="rId76">
        <w:r>
          <w:rPr>
            <w:rStyle w:val="Hyperlink"/>
          </w:rPr>
          <w:t xml:space="preserve">The effect of learning and search images on predator-prey interactions</w:t>
        </w:r>
      </w:hyperlink>
      <w:r>
        <w:t xml:space="preserve">.</w:t>
      </w:r>
      <w:r>
        <w:t xml:space="preserve"> </w:t>
      </w:r>
      <w:r>
        <w:rPr>
          <w:iCs/>
          <w:i/>
        </w:rPr>
        <w:t xml:space="preserve">Popul. Ecol.</w:t>
      </w:r>
      <w:r>
        <w:t xml:space="preserve">, 52, 27.</w:t>
      </w:r>
    </w:p>
    <w:bookmarkEnd w:id="77"/>
    <w:bookmarkStart w:id="79" w:name="ref-Karkarey.etal2017"/>
    <w:p>
      <w:pPr>
        <w:pStyle w:val="Bibliography"/>
      </w:pPr>
      <w:r>
        <w:t xml:space="preserve">Karkarey, R., Alcoverro, T., Kumar, S. &amp; Arthur, R. (2017).</w:t>
      </w:r>
      <w:r>
        <w:t xml:space="preserve"> </w:t>
      </w:r>
      <w:hyperlink r:id="rId78">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79"/>
    <w:bookmarkStart w:id="81" w:name="X861472cb300cb4fe47c34b2285e8585ed9d2165"/>
    <w:p>
      <w:pPr>
        <w:pStyle w:val="Bibliography"/>
      </w:pPr>
      <w:r>
        <w:t xml:space="preserve">Kernaléguen, L., Arnould, J.P.Y., Guinet, C. &amp; Cherel, Y. (2015).</w:t>
      </w:r>
      <w:r>
        <w:t xml:space="preserve"> </w:t>
      </w:r>
      <w:hyperlink r:id="rId80">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 Anim. Ecol.</w:t>
      </w:r>
      <w:r>
        <w:t xml:space="preserve">, 84, 1081–1091.</w:t>
      </w:r>
    </w:p>
    <w:bookmarkEnd w:id="81"/>
    <w:bookmarkStart w:id="83" w:name="ref-Kobler.etal2009"/>
    <w:p>
      <w:pPr>
        <w:pStyle w:val="Bibliography"/>
      </w:pPr>
      <w:r>
        <w:t xml:space="preserve">Kobler, A., Klefoth, T., Mehner, T. &amp; Arlinghaus, R. (2009).</w:t>
      </w:r>
      <w:r>
        <w:t xml:space="preserve"> </w:t>
      </w:r>
      <w:hyperlink r:id="rId82">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83"/>
    <w:bookmarkStart w:id="85" w:name="ref-leeDoubleHierarchicalGeneralized2006"/>
    <w:p>
      <w:pPr>
        <w:pStyle w:val="Bibliography"/>
      </w:pPr>
      <w:r>
        <w:t xml:space="preserve">Lee, Y. &amp; Nelder, J.A. (2006).</w:t>
      </w:r>
      <w:r>
        <w:t xml:space="preserve"> </w:t>
      </w:r>
      <w:hyperlink r:id="rId84">
        <w:r>
          <w:rPr>
            <w:rStyle w:val="Hyperlink"/>
          </w:rPr>
          <w:t xml:space="preserve">Double hierarchical generalized linear models (with discussion)</w:t>
        </w:r>
      </w:hyperlink>
      <w:r>
        <w:t xml:space="preserve">.</w:t>
      </w:r>
      <w:r>
        <w:t xml:space="preserve"> </w:t>
      </w:r>
      <w:r>
        <w:rPr>
          <w:iCs/>
          <w:i/>
        </w:rPr>
        <w:t xml:space="preserve">J. R. Stat. Soc. Ser. C Appl. Stat.</w:t>
      </w:r>
      <w:r>
        <w:t xml:space="preserve">, 55, 139–185.</w:t>
      </w:r>
    </w:p>
    <w:bookmarkEnd w:id="85"/>
    <w:bookmarkStart w:id="87" w:name="X6c7e3aeb277c8347e9da059dcf5014bc78fbbe9"/>
    <w:p>
      <w:pPr>
        <w:pStyle w:val="Bibliography"/>
      </w:pPr>
      <w:r>
        <w:t xml:space="preserve">MacDonald, K. (2007).</w:t>
      </w:r>
      <w:r>
        <w:t xml:space="preserve"> </w:t>
      </w:r>
      <w:hyperlink r:id="rId86">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 Nat</w:t>
      </w:r>
      <w:r>
        <w:t xml:space="preserve">, 18, 386–402.</w:t>
      </w:r>
    </w:p>
    <w:bookmarkEnd w:id="87"/>
    <w:bookmarkStart w:id="89" w:name="ref-Manlick.etal2021"/>
    <w:p>
      <w:pPr>
        <w:pStyle w:val="Bibliography"/>
      </w:pPr>
      <w:r>
        <w:t xml:space="preserve">Manlick, P.J., Maldonado, K. &amp; Newsome, S.D. (2021).</w:t>
      </w:r>
      <w:r>
        <w:t xml:space="preserve"> </w:t>
      </w:r>
      <w:hyperlink r:id="rId88">
        <w:r>
          <w:rPr>
            <w:rStyle w:val="Hyperlink"/>
          </w:rPr>
          <w:t xml:space="preserve">Competition shapes individual foraging and survival in a desert rodent ensemble</w:t>
        </w:r>
      </w:hyperlink>
      <w:r>
        <w:t xml:space="preserve">.</w:t>
      </w:r>
      <w:r>
        <w:t xml:space="preserve"> </w:t>
      </w:r>
      <w:r>
        <w:rPr>
          <w:iCs/>
          <w:i/>
        </w:rPr>
        <w:t xml:space="preserve">J. Anim. Ecol.</w:t>
      </w:r>
      <w:r>
        <w:t xml:space="preserve">, 90, 2806–2818.</w:t>
      </w:r>
    </w:p>
    <w:bookmarkEnd w:id="89"/>
    <w:bookmarkStart w:id="91" w:name="ref-Matsumura.Miyatake2022a"/>
    <w:p>
      <w:pPr>
        <w:pStyle w:val="Bibliography"/>
      </w:pPr>
      <w:r>
        <w:t xml:space="preserve">Matsumura, K. &amp; Miyatake, T. (2022).</w:t>
      </w:r>
      <w:r>
        <w:t xml:space="preserve"> </w:t>
      </w:r>
      <w:hyperlink r:id="rId90">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91"/>
    <w:bookmarkStart w:id="93" w:name="ref-Mery.Burns2010"/>
    <w:p>
      <w:pPr>
        <w:pStyle w:val="Bibliography"/>
      </w:pPr>
      <w:r>
        <w:t xml:space="preserve">Mery, F. &amp; Burns, J.G. (2010).</w:t>
      </w:r>
      <w:r>
        <w:t xml:space="preserve"> </w:t>
      </w:r>
      <w:hyperlink r:id="rId92">
        <w:r>
          <w:rPr>
            <w:rStyle w:val="Hyperlink"/>
          </w:rPr>
          <w:t xml:space="preserve">Behavioural plasticity: An interaction between evolution and experience</w:t>
        </w:r>
      </w:hyperlink>
      <w:r>
        <w:t xml:space="preserve">.</w:t>
      </w:r>
      <w:r>
        <w:t xml:space="preserve"> </w:t>
      </w:r>
      <w:r>
        <w:rPr>
          <w:iCs/>
          <w:i/>
        </w:rPr>
        <w:t xml:space="preserve">Evol. Ecol.</w:t>
      </w:r>
      <w:r>
        <w:t xml:space="preserve">, 24, 571–583.</w:t>
      </w:r>
    </w:p>
    <w:bookmarkEnd w:id="93"/>
    <w:bookmarkStart w:id="95" w:name="ref-Michalko.etal2021"/>
    <w:p>
      <w:pPr>
        <w:pStyle w:val="Bibliography"/>
      </w:pPr>
      <w:r>
        <w:t xml:space="preserve">Michalko, R., Gibbons, A.T., Goodacre, S.L. &amp; Pekár, S. (2021).</w:t>
      </w:r>
      <w:r>
        <w:t xml:space="preserve"> </w:t>
      </w:r>
      <w:hyperlink r:id="rId94">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95"/>
    <w:bookmarkStart w:id="97" w:name="ref-Michalko.Pekar2016"/>
    <w:p>
      <w:pPr>
        <w:pStyle w:val="Bibliography"/>
      </w:pPr>
      <w:r>
        <w:t xml:space="preserve">Michalko, R. &amp; Pekár, S. (2016).</w:t>
      </w:r>
      <w:r>
        <w:t xml:space="preserve"> </w:t>
      </w:r>
      <w:hyperlink r:id="rId96">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97"/>
    <w:bookmarkStart w:id="99" w:name="ref-Mitchell.etal2016a"/>
    <w:p>
      <w:pPr>
        <w:pStyle w:val="Bibliography"/>
      </w:pPr>
      <w:r>
        <w:t xml:space="preserve">Mitchell, D.J., Fanson, B.G., Beckmann, C. &amp; Biro, P.A. (2016).</w:t>
      </w:r>
      <w:r>
        <w:t xml:space="preserve"> </w:t>
      </w:r>
      <w:hyperlink r:id="rId98">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99"/>
    <w:bookmarkStart w:id="101" w:name="ref-Moran.etal2017"/>
    <w:p>
      <w:pPr>
        <w:pStyle w:val="Bibliography"/>
      </w:pPr>
      <w:r>
        <w:t xml:space="preserve">Moran, N.P., Wong, B.B.M. &amp; Thompson, R.M. (2017).</w:t>
      </w:r>
      <w:r>
        <w:t xml:space="preserve"> </w:t>
      </w:r>
      <w:hyperlink r:id="rId100">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01"/>
    <w:bookmarkStart w:id="103" w:name="ref-Morse2000"/>
    <w:p>
      <w:pPr>
        <w:pStyle w:val="Bibliography"/>
      </w:pPr>
      <w:r>
        <w:t xml:space="preserve">Morse, D.H. (2000).</w:t>
      </w:r>
      <w:r>
        <w:t xml:space="preserve"> </w:t>
      </w:r>
      <w:hyperlink r:id="rId102">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03"/>
    <w:bookmarkStart w:id="105" w:name="ref-ODea.etal2022"/>
    <w:p>
      <w:pPr>
        <w:pStyle w:val="Bibliography"/>
      </w:pPr>
      <w:r>
        <w:t xml:space="preserve">O’Dea, R.E., Noble, D.W.A. &amp; Nakagawa, S. (2022).</w:t>
      </w:r>
      <w:r>
        <w:t xml:space="preserve"> </w:t>
      </w:r>
      <w:hyperlink r:id="rId104">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Ecol. Evol.</w:t>
      </w:r>
      <w:r>
        <w:t xml:space="preserve">, 13, 278–293.</w:t>
      </w:r>
    </w:p>
    <w:bookmarkEnd w:id="105"/>
    <w:bookmarkStart w:id="107" w:name="ref-Patrick.Weimerskirch2014a"/>
    <w:p>
      <w:pPr>
        <w:pStyle w:val="Bibliography"/>
      </w:pPr>
      <w:r>
        <w:t xml:space="preserve">Patrick, S.C. &amp; Weimerskirch, H. (2014a).</w:t>
      </w:r>
      <w:r>
        <w:t xml:space="preserve"> </w:t>
      </w:r>
      <w:hyperlink r:id="rId106">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 Lett.</w:t>
      </w:r>
      <w:r>
        <w:t xml:space="preserve">, 10, 20140630.</w:t>
      </w:r>
    </w:p>
    <w:bookmarkEnd w:id="107"/>
    <w:bookmarkStart w:id="109" w:name="ref-Patrick.Weimerskirch2014"/>
    <w:p>
      <w:pPr>
        <w:pStyle w:val="Bibliography"/>
      </w:pPr>
      <w:r>
        <w:t xml:space="preserve">Patrick, S.C. &amp; Weimerskirch, H. (2014b).</w:t>
      </w:r>
      <w:r>
        <w:t xml:space="preserve"> </w:t>
      </w:r>
      <w:hyperlink r:id="rId108">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09"/>
    <w:bookmarkStart w:id="111" w:name="ref-Paull.etal2012"/>
    <w:p>
      <w:pPr>
        <w:pStyle w:val="Bibliography"/>
      </w:pPr>
      <w:r>
        <w:t xml:space="preserve">Paull, J.S., Martin, R.A. &amp; Pfennig, D.W. (2012).</w:t>
      </w:r>
      <w:r>
        <w:t xml:space="preserve"> </w:t>
      </w:r>
      <w:hyperlink r:id="rId110">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11"/>
    <w:bookmarkStart w:id="113" w:name="ref-Pedersen.etal2019"/>
    <w:p>
      <w:pPr>
        <w:pStyle w:val="Bibliography"/>
      </w:pPr>
      <w:r>
        <w:t xml:space="preserve">Pedersen, E.J., Miller, D.L., Simpson, G.L. &amp; Ross, N. (2019).</w:t>
      </w:r>
      <w:r>
        <w:t xml:space="preserve"> </w:t>
      </w:r>
      <w:hyperlink r:id="rId112">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13"/>
    <w:bookmarkStart w:id="115" w:name="ref-Phillips.etal2017"/>
    <w:p>
      <w:pPr>
        <w:pStyle w:val="Bibliography"/>
      </w:pPr>
      <w:r>
        <w:t xml:space="preserve">Phillips, R.A., Lewis, S., González-Solís, J. &amp; Daunt, F. (2017).</w:t>
      </w:r>
      <w:r>
        <w:t xml:space="preserve"> </w:t>
      </w:r>
      <w:hyperlink r:id="rId114">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 Ecol. Prog. Ser.</w:t>
      </w:r>
      <w:r>
        <w:t xml:space="preserve">, 578, 117–150.</w:t>
      </w:r>
    </w:p>
    <w:bookmarkEnd w:id="115"/>
    <w:bookmarkStart w:id="117" w:name="ref-Potier.etal2015"/>
    <w:p>
      <w:pPr>
        <w:pStyle w:val="Bibliography"/>
      </w:pPr>
      <w:r>
        <w:t xml:space="preserve">Potier, S., Carpentier, A., Grémillet, D., Leroy, B. &amp; Lescroël, A. (2015).</w:t>
      </w:r>
      <w:r>
        <w:t xml:space="preserve"> </w:t>
      </w:r>
      <w:hyperlink r:id="rId116">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17"/>
    <w:bookmarkStart w:id="119" w:name="ref-Reid.etal2010"/>
    <w:p>
      <w:pPr>
        <w:pStyle w:val="Bibliography"/>
      </w:pPr>
      <w:r>
        <w:t xml:space="preserve">Reid, A., Seebacher, F. &amp; Ward, A. (2010).</w:t>
      </w:r>
      <w:r>
        <w:t xml:space="preserve"> </w:t>
      </w:r>
      <w:hyperlink r:id="rId118">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19"/>
    <w:bookmarkStart w:id="121" w:name="ref-Santoro.etal2019"/>
    <w:p>
      <w:pPr>
        <w:pStyle w:val="Bibliography"/>
      </w:pPr>
      <w:r>
        <w:t xml:space="preserve">Santoro, D., Hartley, S. &amp; Lester, P.J. (2019).</w:t>
      </w:r>
      <w:r>
        <w:t xml:space="preserve"> </w:t>
      </w:r>
      <w:hyperlink r:id="rId120">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 Rep</w:t>
      </w:r>
      <w:r>
        <w:t xml:space="preserve">, 9, 5366.</w:t>
      </w:r>
    </w:p>
    <w:bookmarkEnd w:id="121"/>
    <w:bookmarkStart w:id="123" w:name="ref-Snell-Rood2013"/>
    <w:p>
      <w:pPr>
        <w:pStyle w:val="Bibliography"/>
      </w:pPr>
      <w:r>
        <w:t xml:space="preserve">Snell-Rood, E.C. (2013).</w:t>
      </w:r>
      <w:r>
        <w:t xml:space="preserve"> </w:t>
      </w:r>
      <w:hyperlink r:id="rId122">
        <w:r>
          <w:rPr>
            <w:rStyle w:val="Hyperlink"/>
          </w:rPr>
          <w:t xml:space="preserve">An overview of the evolutionary causes and consequences of behavioural plasticity</w:t>
        </w:r>
      </w:hyperlink>
      <w:r>
        <w:t xml:space="preserve">.</w:t>
      </w:r>
      <w:r>
        <w:t xml:space="preserve"> </w:t>
      </w:r>
      <w:r>
        <w:rPr>
          <w:iCs/>
          <w:i/>
        </w:rPr>
        <w:t xml:space="preserve">Anim. Behav.</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23"/>
    <w:bookmarkStart w:id="125" w:name="ref-Tinker.etal2008"/>
    <w:p>
      <w:pPr>
        <w:pStyle w:val="Bibliography"/>
      </w:pPr>
      <w:r>
        <w:t xml:space="preserve">Tinker, M.T., Bentall, G. &amp; Estes, J.A. (2008).</w:t>
      </w:r>
      <w:r>
        <w:t xml:space="preserve"> </w:t>
      </w:r>
      <w:hyperlink r:id="rId124">
        <w:r>
          <w:rPr>
            <w:rStyle w:val="Hyperlink"/>
          </w:rPr>
          <w:t xml:space="preserve">Food limitation leads to behavioral diversification and dietary specialization in sea otters</w:t>
        </w:r>
      </w:hyperlink>
      <w:r>
        <w:t xml:space="preserve">.</w:t>
      </w:r>
      <w:r>
        <w:t xml:space="preserve"> </w:t>
      </w:r>
      <w:r>
        <w:rPr>
          <w:iCs/>
          <w:i/>
        </w:rPr>
        <w:t xml:space="preserve">PNAS</w:t>
      </w:r>
      <w:r>
        <w:t xml:space="preserve">, 105, 560–565.</w:t>
      </w:r>
    </w:p>
    <w:bookmarkEnd w:id="125"/>
    <w:bookmarkStart w:id="126"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 Ecol. Res.</w:t>
      </w:r>
      <w:r>
        <w:t xml:space="preserve">, 11, 841–869.</w:t>
      </w:r>
    </w:p>
    <w:bookmarkEnd w:id="126"/>
    <w:bookmarkStart w:id="128" w:name="Xa9f710354cc886f3275f2724e3e26c0203e8293"/>
    <w:p>
      <w:pPr>
        <w:pStyle w:val="Bibliography"/>
      </w:pPr>
      <w:r>
        <w:t xml:space="preserve">Toscano, B.J., Gownaris, N.J., Heerhartz, S.M. &amp; Monaco, C.J. (2016).</w:t>
      </w:r>
      <w:r>
        <w:t xml:space="preserve"> </w:t>
      </w:r>
      <w:hyperlink r:id="rId127">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28"/>
    <w:bookmarkStart w:id="130" w:name="X2d34a8037745a9f1e9ed0eb47d31f23e92657a6"/>
    <w:p>
      <w:pPr>
        <w:pStyle w:val="Bibliography"/>
      </w:pPr>
      <w:r>
        <w:t xml:space="preserve">Toscano, B.J. &amp; Griffen, B.D. (2014).</w:t>
      </w:r>
      <w:r>
        <w:t xml:space="preserve"> </w:t>
      </w:r>
      <w:hyperlink r:id="rId129">
        <w:r>
          <w:rPr>
            <w:rStyle w:val="Hyperlink"/>
          </w:rPr>
          <w:t xml:space="preserve">Trait-mediated functional responses: Predator behavioural type mediates prey consumption</w:t>
        </w:r>
      </w:hyperlink>
      <w:r>
        <w:t xml:space="preserve">.</w:t>
      </w:r>
      <w:r>
        <w:t xml:space="preserve"> </w:t>
      </w:r>
      <w:r>
        <w:rPr>
          <w:iCs/>
          <w:i/>
        </w:rPr>
        <w:t xml:space="preserve">J. Anim. Ecol.</w:t>
      </w:r>
      <w:r>
        <w:t xml:space="preserve">, 83, 1469–1477.</w:t>
      </w:r>
    </w:p>
    <w:bookmarkEnd w:id="130"/>
    <w:bookmarkStart w:id="132" w:name="ref-vandenBosch.etal2019"/>
    <w:p>
      <w:pPr>
        <w:pStyle w:val="Bibliography"/>
      </w:pPr>
      <w:r>
        <w:t xml:space="preserve">van den Bosch, M., Baert, J.M., Müller, W., Lens, L. &amp; Stienen, E.W.M. (2019).</w:t>
      </w:r>
      <w:r>
        <w:t xml:space="preserve"> </w:t>
      </w:r>
      <w:hyperlink r:id="rId131">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32"/>
    <w:bookmarkStart w:id="134" w:name="ref-Vehtari.etal2017"/>
    <w:p>
      <w:pPr>
        <w:pStyle w:val="Bibliography"/>
      </w:pPr>
      <w:r>
        <w:t xml:space="preserve">Vehtari, A., Gelman, A. &amp; Gabry, J. (2017).</w:t>
      </w:r>
      <w:r>
        <w:t xml:space="preserve"> </w:t>
      </w:r>
      <w:hyperlink r:id="rId133">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 Comput</w:t>
      </w:r>
      <w:r>
        <w:t xml:space="preserve">, 27, 1413–1432.</w:t>
      </w:r>
    </w:p>
    <w:bookmarkEnd w:id="134"/>
    <w:bookmarkStart w:id="136" w:name="ref-Weimerskirch2007"/>
    <w:p>
      <w:pPr>
        <w:pStyle w:val="Bibliography"/>
      </w:pPr>
      <w:r>
        <w:t xml:space="preserve">Weimerskirch, H. (2007).</w:t>
      </w:r>
      <w:r>
        <w:t xml:space="preserve"> </w:t>
      </w:r>
      <w:hyperlink r:id="rId135">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36"/>
    <w:bookmarkStart w:id="138" w:name="ref-westneatBiologyHiddenResidual2014"/>
    <w:p>
      <w:pPr>
        <w:pStyle w:val="Bibliography"/>
      </w:pPr>
      <w:r>
        <w:t xml:space="preserve">Westneat, D.F., Wright, J. &amp; Dingemanse, N.J. (2014).</w:t>
      </w:r>
      <w:r>
        <w:t xml:space="preserve"> </w:t>
      </w:r>
      <w:hyperlink r:id="rId137">
        <w:r>
          <w:rPr>
            <w:rStyle w:val="Hyperlink"/>
          </w:rPr>
          <w:t xml:space="preserve">The biology hidden inside residual within-individual phenotypic variation</w:t>
        </w:r>
      </w:hyperlink>
      <w:r>
        <w:t xml:space="preserve">.</w:t>
      </w:r>
      <w:r>
        <w:t xml:space="preserve"> </w:t>
      </w:r>
      <w:r>
        <w:rPr>
          <w:iCs/>
          <w:i/>
        </w:rPr>
        <w:t xml:space="preserve">Biol. Rev.</w:t>
      </w:r>
      <w:r>
        <w:t xml:space="preserve">, 90, 729–743.</w:t>
      </w:r>
    </w:p>
    <w:bookmarkEnd w:id="138"/>
    <w:bookmarkStart w:id="140" w:name="ref-Wilson-Rankin2015"/>
    <w:p>
      <w:pPr>
        <w:pStyle w:val="Bibliography"/>
      </w:pPr>
      <w:r>
        <w:t xml:space="preserve">Wilson-Rankin, E.E. (2015).</w:t>
      </w:r>
      <w:r>
        <w:t xml:space="preserve"> </w:t>
      </w:r>
      <w:hyperlink r:id="rId139">
        <w:r>
          <w:rPr>
            <w:rStyle w:val="Hyperlink"/>
          </w:rPr>
          <w:t xml:space="preserve">Level of experience modulates individual foraging strategies of an invasive predatory wasp</w:t>
        </w:r>
      </w:hyperlink>
      <w:r>
        <w:t xml:space="preserve">.</w:t>
      </w:r>
      <w:r>
        <w:t xml:space="preserve"> </w:t>
      </w:r>
      <w:r>
        <w:rPr>
          <w:iCs/>
          <w:i/>
        </w:rPr>
        <w:t xml:space="preserve">Behav Ecol Sociobiol</w:t>
      </w:r>
      <w:r>
        <w:t xml:space="preserve">, 69, 491–499.</w:t>
      </w:r>
    </w:p>
    <w:bookmarkEnd w:id="140"/>
    <w:bookmarkStart w:id="142" w:name="ref-Woo.etal2008"/>
    <w:p>
      <w:pPr>
        <w:pStyle w:val="Bibliography"/>
      </w:pPr>
      <w:r>
        <w:t xml:space="preserve">Woo, K.J., Elliott, K.H., Davidson, M., Gaston, A.J. &amp; Davoren, G.K. (2008).</w:t>
      </w:r>
      <w:r>
        <w:t xml:space="preserve"> </w:t>
      </w:r>
      <w:hyperlink r:id="rId141">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 Anim. Ecol.</w:t>
      </w:r>
      <w:r>
        <w:t xml:space="preserve">, 77, 1082–1091.</w:t>
      </w:r>
    </w:p>
    <w:bookmarkEnd w:id="142"/>
    <w:bookmarkEnd w:id="143"/>
    <w:bookmarkEnd w:id="144"/>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13501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0860B53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126F79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0ECD51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3AFEA90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BD624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6204D190"/>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80F4AE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2CAF25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D84920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648B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A7071"/>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C9533F"/>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hyperlink" Id="rId25" Target="https://docs.alliancecan.ca/wiki/Cedar" TargetMode="External" /><Relationship Type="http://schemas.openxmlformats.org/officeDocument/2006/relationships/hyperlink" Id="rId102" Target="https://doi.org/10.1006/anbe.2000.1546" TargetMode="External" /><Relationship Type="http://schemas.openxmlformats.org/officeDocument/2006/relationships/hyperlink" Id="rId139"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2" Target="https://doi.org/10.1007/s00442-009-1415-9" TargetMode="External" /><Relationship Type="http://schemas.openxmlformats.org/officeDocument/2006/relationships/hyperlink" Id="rId96" Target="https://doi.org/10.1007/s00442-016-3631-4" TargetMode="External" /><Relationship Type="http://schemas.openxmlformats.org/officeDocument/2006/relationships/hyperlink" Id="rId127" Target="https://doi.org/10.1007/s00442-016-3648-8" TargetMode="External" /><Relationship Type="http://schemas.openxmlformats.org/officeDocument/2006/relationships/hyperlink" Id="rId76" Target="https://doi.org/10.1007/s10144-009-0185-x" TargetMode="External" /><Relationship Type="http://schemas.openxmlformats.org/officeDocument/2006/relationships/hyperlink" Id="rId92" Target="https://doi.org/10.1007/s10682-009-9336-y" TargetMode="External" /><Relationship Type="http://schemas.openxmlformats.org/officeDocument/2006/relationships/hyperlink" Id="rId133" Target="https://doi.org/10.1007/s11222-016-9696-4" TargetMode="External" /><Relationship Type="http://schemas.openxmlformats.org/officeDocument/2006/relationships/hyperlink" Id="rId86" Target="https://doi.org/10.1007/s12110-007-9019-8" TargetMode="External" /><Relationship Type="http://schemas.openxmlformats.org/officeDocument/2006/relationships/hyperlink" Id="rId70" Target="https://doi.org/10.1016/B978-0-12-804327-1.00126-6" TargetMode="External" /><Relationship Type="http://schemas.openxmlformats.org/officeDocument/2006/relationships/hyperlink" Id="rId122" Target="https://doi.org/10.1016/j.anbehav.2012.12.031" TargetMode="External" /><Relationship Type="http://schemas.openxmlformats.org/officeDocument/2006/relationships/hyperlink" Id="rId116" Target="https://doi.org/10.1016/j.anbehav.2015.02.008" TargetMode="External" /><Relationship Type="http://schemas.openxmlformats.org/officeDocument/2006/relationships/hyperlink" Id="rId78" Target="https://doi.org/10.1016/j.anbehav.2017.07.010" TargetMode="External" /><Relationship Type="http://schemas.openxmlformats.org/officeDocument/2006/relationships/hyperlink" Id="rId59"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35" Target="https://doi.org/10.1016/j.dsr2.2006.11.013" TargetMode="External" /><Relationship Type="http://schemas.openxmlformats.org/officeDocument/2006/relationships/hyperlink" Id="rId72" Target="https://doi.org/10.1016/j.jembe.2018.11.002" TargetMode="External" /><Relationship Type="http://schemas.openxmlformats.org/officeDocument/2006/relationships/hyperlink" Id="rId120"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3" Target="https://doi.org/10.1046/j.1365-2656.2003.00690.x" TargetMode="External" /><Relationship Type="http://schemas.openxmlformats.org/officeDocument/2006/relationships/hyperlink" Id="rId124" Target="https://doi.org/10.1073/pnas.0709263105" TargetMode="External" /><Relationship Type="http://schemas.openxmlformats.org/officeDocument/2006/relationships/hyperlink" Id="rId61" Target="https://doi.org/10.1080/03014223.1994.9517994" TargetMode="External" /><Relationship Type="http://schemas.openxmlformats.org/officeDocument/2006/relationships/hyperlink" Id="rId94" Target="https://doi.org/10.1093/beheco/araa123" TargetMode="External" /><Relationship Type="http://schemas.openxmlformats.org/officeDocument/2006/relationships/hyperlink" Id="rId65" Target="https://doi.org/10.1093/beheco/arac063" TargetMode="External" /><Relationship Type="http://schemas.openxmlformats.org/officeDocument/2006/relationships/hyperlink" Id="rId131" Target="https://doi.org/10.1093/beheco/arz016" TargetMode="External" /><Relationship Type="http://schemas.openxmlformats.org/officeDocument/2006/relationships/hyperlink" Id="rId106" Target="https://doi.org/10.1098/rsbl.2014.0630" TargetMode="External" /><Relationship Type="http://schemas.openxmlformats.org/officeDocument/2006/relationships/hyperlink" Id="rId98" Target="https://doi.org/10.1098/rsos.160352" TargetMode="External" /><Relationship Type="http://schemas.openxmlformats.org/officeDocument/2006/relationships/hyperlink" Id="rId129" Target="https://doi.org/10.1111/1365-2656.12236" TargetMode="External" /><Relationship Type="http://schemas.openxmlformats.org/officeDocument/2006/relationships/hyperlink" Id="rId80" Target="https://doi.org/10.1111/1365-2656.12347" TargetMode="External" /><Relationship Type="http://schemas.openxmlformats.org/officeDocument/2006/relationships/hyperlink" Id="rId88" Target="https://doi.org/10.1111/1365-2656.13583" TargetMode="External" /><Relationship Type="http://schemas.openxmlformats.org/officeDocument/2006/relationships/hyperlink" Id="rId52" Target="https://doi.org/10.1111/2041-210X.12281" TargetMode="External" /><Relationship Type="http://schemas.openxmlformats.org/officeDocument/2006/relationships/hyperlink" Id="rId104" Target="https://doi.org/10.1111/2041-210X.13755" TargetMode="External" /><Relationship Type="http://schemas.openxmlformats.org/officeDocument/2006/relationships/hyperlink" Id="rId137" Target="https://doi.org/10.1111/brv.12131" TargetMode="External" /><Relationship Type="http://schemas.openxmlformats.org/officeDocument/2006/relationships/hyperlink" Id="rId54" Target="https://doi.org/10.1111/ele.12970" TargetMode="External" /><Relationship Type="http://schemas.openxmlformats.org/officeDocument/2006/relationships/hyperlink" Id="rId90" Target="https://doi.org/10.1111/eth.13272" TargetMode="External" /><Relationship Type="http://schemas.openxmlformats.org/officeDocument/2006/relationships/hyperlink" Id="rId110" Target="https://doi.org/10.1111/j.1095-8312.2012.01982.x" TargetMode="External" /><Relationship Type="http://schemas.openxmlformats.org/officeDocument/2006/relationships/hyperlink" Id="rId141"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84" Target="https://doi.org/10.1111/j.1467-9876.2006.00538.x" TargetMode="External" /><Relationship Type="http://schemas.openxmlformats.org/officeDocument/2006/relationships/hyperlink" Id="rId100" Target="https://doi.org/10.1111/oik.03642" TargetMode="External" /><Relationship Type="http://schemas.openxmlformats.org/officeDocument/2006/relationships/hyperlink" Id="rId118" Target="https://doi.org/10.1163/000579509X12512871386137" TargetMode="External" /><Relationship Type="http://schemas.openxmlformats.org/officeDocument/2006/relationships/hyperlink" Id="rId108"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6" Target="https://doi.org/10.1890/02-0208" TargetMode="External" /><Relationship Type="http://schemas.openxmlformats.org/officeDocument/2006/relationships/hyperlink" Id="rId68" Target="https://doi.org/10.1890/11-2153.1" TargetMode="External" /><Relationship Type="http://schemas.openxmlformats.org/officeDocument/2006/relationships/hyperlink" Id="rId74" Target="https://doi.org/10.2307/1936998" TargetMode="External" /><Relationship Type="http://schemas.openxmlformats.org/officeDocument/2006/relationships/hyperlink" Id="rId114" Target="https://doi.org/10.3354/meps12217" TargetMode="External" /><Relationship Type="http://schemas.openxmlformats.org/officeDocument/2006/relationships/hyperlink" Id="rId112"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5" Target="https://docs.alliancecan.ca/wiki/Cedar" TargetMode="External" /><Relationship Type="http://schemas.openxmlformats.org/officeDocument/2006/relationships/hyperlink" Id="rId102" Target="https://doi.org/10.1006/anbe.2000.1546" TargetMode="External" /><Relationship Type="http://schemas.openxmlformats.org/officeDocument/2006/relationships/hyperlink" Id="rId139" Target="https://doi.org/10.1007/s00265-014-1861-1" TargetMode="External" /><Relationship Type="http://schemas.openxmlformats.org/officeDocument/2006/relationships/hyperlink" Id="rId44" Target="https://doi.org/10.1007/s00265-020-02833-0" TargetMode="External" /><Relationship Type="http://schemas.openxmlformats.org/officeDocument/2006/relationships/hyperlink" Id="rId82" Target="https://doi.org/10.1007/s00442-009-1415-9" TargetMode="External" /><Relationship Type="http://schemas.openxmlformats.org/officeDocument/2006/relationships/hyperlink" Id="rId96" Target="https://doi.org/10.1007/s00442-016-3631-4" TargetMode="External" /><Relationship Type="http://schemas.openxmlformats.org/officeDocument/2006/relationships/hyperlink" Id="rId127" Target="https://doi.org/10.1007/s00442-016-3648-8" TargetMode="External" /><Relationship Type="http://schemas.openxmlformats.org/officeDocument/2006/relationships/hyperlink" Id="rId76" Target="https://doi.org/10.1007/s10144-009-0185-x" TargetMode="External" /><Relationship Type="http://schemas.openxmlformats.org/officeDocument/2006/relationships/hyperlink" Id="rId92" Target="https://doi.org/10.1007/s10682-009-9336-y" TargetMode="External" /><Relationship Type="http://schemas.openxmlformats.org/officeDocument/2006/relationships/hyperlink" Id="rId133" Target="https://doi.org/10.1007/s11222-016-9696-4" TargetMode="External" /><Relationship Type="http://schemas.openxmlformats.org/officeDocument/2006/relationships/hyperlink" Id="rId86" Target="https://doi.org/10.1007/s12110-007-9019-8" TargetMode="External" /><Relationship Type="http://schemas.openxmlformats.org/officeDocument/2006/relationships/hyperlink" Id="rId70" Target="https://doi.org/10.1016/B978-0-12-804327-1.00126-6" TargetMode="External" /><Relationship Type="http://schemas.openxmlformats.org/officeDocument/2006/relationships/hyperlink" Id="rId122" Target="https://doi.org/10.1016/j.anbehav.2012.12.031" TargetMode="External" /><Relationship Type="http://schemas.openxmlformats.org/officeDocument/2006/relationships/hyperlink" Id="rId116" Target="https://doi.org/10.1016/j.anbehav.2015.02.008" TargetMode="External" /><Relationship Type="http://schemas.openxmlformats.org/officeDocument/2006/relationships/hyperlink" Id="rId78" Target="https://doi.org/10.1016/j.anbehav.2017.07.010" TargetMode="External" /><Relationship Type="http://schemas.openxmlformats.org/officeDocument/2006/relationships/hyperlink" Id="rId59" Target="https://doi.org/10.1016/j.anbehav.2018.05.010" TargetMode="External" /><Relationship Type="http://schemas.openxmlformats.org/officeDocument/2006/relationships/hyperlink" Id="rId48" Target="https://doi.org/10.1016/j.anbehav.2021.06.010" TargetMode="External" /><Relationship Type="http://schemas.openxmlformats.org/officeDocument/2006/relationships/hyperlink" Id="rId135" Target="https://doi.org/10.1016/j.dsr2.2006.11.013" TargetMode="External" /><Relationship Type="http://schemas.openxmlformats.org/officeDocument/2006/relationships/hyperlink" Id="rId72" Target="https://doi.org/10.1016/j.jembe.2018.11.002" TargetMode="External" /><Relationship Type="http://schemas.openxmlformats.org/officeDocument/2006/relationships/hyperlink" Id="rId120" Target="https://doi.org/10.1038/s41598-019-41791-0" TargetMode="External" /><Relationship Type="http://schemas.openxmlformats.org/officeDocument/2006/relationships/hyperlink" Id="rId50" Target="https://doi.org/10.1038/srep40734" TargetMode="External" /><Relationship Type="http://schemas.openxmlformats.org/officeDocument/2006/relationships/hyperlink" Id="rId63" Target="https://doi.org/10.1046/j.1365-2656.2003.00690.x" TargetMode="External" /><Relationship Type="http://schemas.openxmlformats.org/officeDocument/2006/relationships/hyperlink" Id="rId124" Target="https://doi.org/10.1073/pnas.0709263105" TargetMode="External" /><Relationship Type="http://schemas.openxmlformats.org/officeDocument/2006/relationships/hyperlink" Id="rId61" Target="https://doi.org/10.1080/03014223.1994.9517994" TargetMode="External" /><Relationship Type="http://schemas.openxmlformats.org/officeDocument/2006/relationships/hyperlink" Id="rId94" Target="https://doi.org/10.1093/beheco/araa123" TargetMode="External" /><Relationship Type="http://schemas.openxmlformats.org/officeDocument/2006/relationships/hyperlink" Id="rId65" Target="https://doi.org/10.1093/beheco/arac063" TargetMode="External" /><Relationship Type="http://schemas.openxmlformats.org/officeDocument/2006/relationships/hyperlink" Id="rId131" Target="https://doi.org/10.1093/beheco/arz016" TargetMode="External" /><Relationship Type="http://schemas.openxmlformats.org/officeDocument/2006/relationships/hyperlink" Id="rId106" Target="https://doi.org/10.1098/rsbl.2014.0630" TargetMode="External" /><Relationship Type="http://schemas.openxmlformats.org/officeDocument/2006/relationships/hyperlink" Id="rId98" Target="https://doi.org/10.1098/rsos.160352" TargetMode="External" /><Relationship Type="http://schemas.openxmlformats.org/officeDocument/2006/relationships/hyperlink" Id="rId129" Target="https://doi.org/10.1111/1365-2656.12236" TargetMode="External" /><Relationship Type="http://schemas.openxmlformats.org/officeDocument/2006/relationships/hyperlink" Id="rId80" Target="https://doi.org/10.1111/1365-2656.12347" TargetMode="External" /><Relationship Type="http://schemas.openxmlformats.org/officeDocument/2006/relationships/hyperlink" Id="rId88" Target="https://doi.org/10.1111/1365-2656.13583" TargetMode="External" /><Relationship Type="http://schemas.openxmlformats.org/officeDocument/2006/relationships/hyperlink" Id="rId52" Target="https://doi.org/10.1111/2041-210X.12281" TargetMode="External" /><Relationship Type="http://schemas.openxmlformats.org/officeDocument/2006/relationships/hyperlink" Id="rId104" Target="https://doi.org/10.1111/2041-210X.13755" TargetMode="External" /><Relationship Type="http://schemas.openxmlformats.org/officeDocument/2006/relationships/hyperlink" Id="rId137" Target="https://doi.org/10.1111/brv.12131" TargetMode="External" /><Relationship Type="http://schemas.openxmlformats.org/officeDocument/2006/relationships/hyperlink" Id="rId54" Target="https://doi.org/10.1111/ele.12970" TargetMode="External" /><Relationship Type="http://schemas.openxmlformats.org/officeDocument/2006/relationships/hyperlink" Id="rId90" Target="https://doi.org/10.1111/eth.13272" TargetMode="External" /><Relationship Type="http://schemas.openxmlformats.org/officeDocument/2006/relationships/hyperlink" Id="rId110" Target="https://doi.org/10.1111/j.1095-8312.2012.01982.x" TargetMode="External" /><Relationship Type="http://schemas.openxmlformats.org/officeDocument/2006/relationships/hyperlink" Id="rId141" Target="https://doi.org/10.1111/j.1365-2656.2008.01429.x" TargetMode="External" /><Relationship Type="http://schemas.openxmlformats.org/officeDocument/2006/relationships/hyperlink" Id="rId42" Target="https://doi.org/10.1111/j.1461-0248.2011.01662.x" TargetMode="External" /><Relationship Type="http://schemas.openxmlformats.org/officeDocument/2006/relationships/hyperlink" Id="rId84" Target="https://doi.org/10.1111/j.1467-9876.2006.00538.x" TargetMode="External" /><Relationship Type="http://schemas.openxmlformats.org/officeDocument/2006/relationships/hyperlink" Id="rId100" Target="https://doi.org/10.1111/oik.03642" TargetMode="External" /><Relationship Type="http://schemas.openxmlformats.org/officeDocument/2006/relationships/hyperlink" Id="rId118" Target="https://doi.org/10.1163/000579509X12512871386137" TargetMode="External" /><Relationship Type="http://schemas.openxmlformats.org/officeDocument/2006/relationships/hyperlink" Id="rId108" Target="https://doi.org/10.1371/journal.pone.0087269" TargetMode="External" /><Relationship Type="http://schemas.openxmlformats.org/officeDocument/2006/relationships/hyperlink" Id="rId46" Target="https://doi.org/10.18637/jss.v080.i01" TargetMode="External" /><Relationship Type="http://schemas.openxmlformats.org/officeDocument/2006/relationships/hyperlink" Id="rId56" Target="https://doi.org/10.1890/02-0208" TargetMode="External" /><Relationship Type="http://schemas.openxmlformats.org/officeDocument/2006/relationships/hyperlink" Id="rId68" Target="https://doi.org/10.1890/11-2153.1" TargetMode="External" /><Relationship Type="http://schemas.openxmlformats.org/officeDocument/2006/relationships/hyperlink" Id="rId74" Target="https://doi.org/10.2307/1936998" TargetMode="External" /><Relationship Type="http://schemas.openxmlformats.org/officeDocument/2006/relationships/hyperlink" Id="rId114" Target="https://doi.org/10.3354/meps12217" TargetMode="External" /><Relationship Type="http://schemas.openxmlformats.org/officeDocument/2006/relationships/hyperlink" Id="rId112"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and prey variability jointly shape individual foraging specialisation in a predator-prey videogame</dc:title>
  <dc:creator/>
  <cp:keywords/>
  <dcterms:created xsi:type="dcterms:W3CDTF">2022-10-12T21:29:02Z</dcterms:created>
  <dcterms:modified xsi:type="dcterms:W3CDTF">2022-10-12T21:29:02Z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e-letters.csl</vt:lpwstr>
  </property>
  <property fmtid="{D5CDD505-2E9C-101B-9397-08002B2CF9AE}" pid="4" name="output">
    <vt:lpwstr/>
  </property>
</Properties>
</file>