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3.png" ContentType="image/png"/>
  <Override PartName="/word/media/rId266.png" ContentType="image/png"/>
  <Override PartName="/word/media/rId26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test how hunting experience shapes individual foraging specialization and success in predators across repeated interactions with their prey.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 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on different prey irrespective of sexual, morphological, or age-related differences</w:t>
      </w:r>
      <w:r>
        <w:t xml:space="preserve"> </w:t>
      </w:r>
      <w:r>
        <w:t xml:space="preserve">(Estes et al. 2003, Tinker et al. 2008, Kernaléguen et al. 2015, Phillips et al. 2017)</w:t>
      </w:r>
      <w:r>
        <w:t xml:space="preserve">. A growing body of evidence suggests that reciprocal interactions between predators and prey could drive this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Corpsdetexte"/>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cumulative experience, where extensive practice optimizes success when individuals reach an advanced level of experience.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hunting tactic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Alternatively, the costs/risks faced by hunters when switching foraging tactics may be offset through extensive practive,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constantly encounter faster prey, which are proven to be more difficult to hunt in simulation and empirical studies</w:t>
      </w:r>
      <w:r>
        <w:t xml:space="preserve"> </w:t>
      </w:r>
      <w:r>
        <w:t xml:space="preserve">(Walker et al. 2005, Kelley and Magurran 2011, Martin et al. 2022)</w:t>
      </w:r>
      <w:r>
        <w:t xml:space="preserve">. Thus, whether predators specialize or increase their flexibility with experience, learning to adjust their tactic to their prey should be essential to optimize their success.</w:t>
      </w:r>
    </w:p>
    <w:p>
      <w:pPr>
        <w:pStyle w:val="Corpsdetexte"/>
      </w:pPr>
      <w:r>
        <w:t xml:space="preserve">There is currently a lack of consensus on the fitness advantages of specialized vs flexible foraging</w:t>
      </w:r>
      <w:r>
        <w:t xml:space="preserve"> </w:t>
      </w:r>
      <w:r>
        <w:t xml:space="preserve">(Phillips et al. 2017)</w:t>
      </w:r>
      <w:r>
        <w:t xml:space="preserve">.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This may in part be due to the limited information we have on the ecological contexts favouring specialization over flexibility in nature. However, in predator-prey systems, many studies have outlined that fluctuations in the predictability of resources throughout a predator’s lifetime may be a key factor shaping foraging specialization</w:t>
      </w:r>
      <w:r>
        <w:t xml:space="preserve"> </w:t>
      </w:r>
      <w:r>
        <w:t xml:space="preserve">(Weimerskirch 2007, Woo et al. 2008, Chang et al. 2017, Phillips et al. 2017, Courbin et al. 2018)</w:t>
      </w:r>
      <w:r>
        <w:t xml:space="preserve">. The resource-predictability (or resource-heterogeneity) hypothesis argues that when resources are predictable (or stable), individual specialists should have higher capture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When predator-prey interactions are directly observed, empirical evidence shows that predators often match their locomotor and behavioural traits to those of their prey</w:t>
      </w:r>
      <w:r>
        <w:t xml:space="preserve"> </w:t>
      </w:r>
      <w:r>
        <w:t xml:space="preserve">(Bro-Jørgensen 2013, McGhee et al. 2013, Chang et al. 2017, Szopa-Comley and Ioannou 2022)</w:t>
      </w:r>
      <w:r>
        <w:t xml:space="preserve">. Yet, a recurring question emerging from these studies is whether the mechanism driving such behavioural adjustments by predators involves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Corpsdetexte"/>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 and help uncover the mechanisms that shape predator-prey interactions</w:t>
      </w:r>
      <w:r>
        <w:t xml:space="preserve"> </w:t>
      </w:r>
      <w:r>
        <w:t xml:space="preserve">(Fraser Franco et al. 2022)</w:t>
      </w:r>
      <w:r>
        <w:t xml:space="preserve">. In this dynamic virtual system, four prey players need to forage for resources while avoiding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their success are largely driven by the movement of the prey, where faster prey are more difficult to capture</w:t>
      </w:r>
      <w:r>
        <w:t xml:space="preserve"> </w:t>
      </w:r>
      <w:r>
        <w:t xml:space="preserve">(Fraser Franco et al. 2022)</w:t>
      </w:r>
      <w:r>
        <w:t xml:space="preserve">. Predators should thus benefit from learning how the prey behave to be successful. Other studies using virtual predator-prey systems show that predation regimes drives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the current gaps in predator-prey research. They also generate large volumes of data on interacting players throughout their lifetime in the game under realistic ecological scenarios. Hence, virtual systems offer the opportunity to tackle fundamental questions about the role of experience and prey behaviour on individual predator foraging specialization and performance.</w:t>
      </w:r>
    </w:p>
    <w:p>
      <w:pPr>
        <w:pStyle w:val="Corpsdetexte"/>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along with the predator’s success are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groups of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processes operate at the same time, then we should see no change with experience at the population level, but differences in specialization among individuals should increase. Third, we evaluate how predator foraging specialization emerges from behavioural interactions with the prey. Whether predators specialize or not with experience should depend on the behaviour of their prey. We expect predators that experienced more predictable encounters with their prey to specialize, while predators that experienced unpredictable encounters with their prey should adopt a flexible hunting strategy. If we detect such prey-dependent fine-tuning, then specialist and flexible hunters should attain equal success because both should have learned to optimize their hunting style to their prey.</w:t>
      </w:r>
    </w:p>
    <w:bookmarkEnd w:id="23"/>
    <w:bookmarkStart w:id="34"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our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powers-gameplay mechanics), the game environment, the predator-player’s experience along with its speed, and the average speed of the group of prey it encountered.</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the videogame company provided a random sample of players that played between 20 and 50 matches, between 51 and 100 matches, and between 101 and 300 matches from the same timeframe as our current sample.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Titre2"/>
      </w:pPr>
      <w:r>
        <w:t xml:space="preserve">Variables</w:t>
      </w:r>
    </w:p>
    <w:p>
      <w:pPr>
        <w:pStyle w:val="FirstParagraph"/>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3" w:name="statistical-analyses"/>
    <w:p>
      <w:pPr>
        <w:pStyle w:val="Titre2"/>
      </w:pPr>
      <w:r>
        <w:t xml:space="preserve">Statistical analyses</w:t>
      </w:r>
    </w:p>
    <w:bookmarkStart w:id="28" w:name="software-and-computer-specifications"/>
    <w:p>
      <w:pPr>
        <w:pStyle w:val="Titre3"/>
      </w:pPr>
      <w:r>
        <w:t xml:space="preserve">Software and computer specifications</w:t>
      </w:r>
    </w:p>
    <w:p>
      <w:pPr>
        <w:pStyle w:val="FirstParagraph"/>
      </w:pPr>
      <w:r>
        <w:t xml:space="preserve">All our statistical analyses were executed on Cedar (</w:t>
      </w:r>
      <w:hyperlink r:id="rId27">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Titre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Corpsdetexte"/>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Corpsdetexte"/>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1" w:name="Xdb90a3bc6360b9c7efda4b70edf1c2bab09c4e8"/>
    <w:p>
      <w:pPr>
        <w:pStyle w:val="Titre3"/>
      </w:pPr>
      <w:r>
        <w:t xml:space="preserve">Changes in foraging behaviour and predator-prey interactions with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along the slow-fast continuum),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groups encountered by predators. For the mean part of the model, it allows us to test whether individual predators differed in the average speed of the groups of prey encountered across the study. For the dispersion part, it allows us to test whether individual predators differed in the (dis)similarity of the groups of prey encountered across the study (i.e. if resource heterogeneity was higher for some individuals compared to others). For hunting success, we only modeled the mean part of the equation to estimate among individual differences in mean prey capture. For the predator and the prey’s speed, we controlled for the average rank of the prey that they encountered as proxy for prey skills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Lienhypertexte"/>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Corpsdetexte"/>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as they were not part of our initial objectives.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(equations 1.1, 2.1, and 3), and the default priors in</w:t>
      </w:r>
      <w:r>
        <w:t xml:space="preserve"> </w:t>
      </w:r>
      <w:r>
        <w:t xml:space="preserve">“</w:t>
      </w:r>
      <w:r>
        <w:t xml:space="preserve">brms</w:t>
      </w:r>
      <w:r>
        <w:t xml:space="preserve">”</w:t>
      </w:r>
      <w:r>
        <w:t xml:space="preserve"> </w:t>
      </w:r>
      <w:r>
        <w:t xml:space="preserve">for the dispersion part (equations 1.2 and 2.2). We used the default Student t priors in</w:t>
      </w:r>
      <w:r>
        <w:t xml:space="preserve"> </w:t>
      </w:r>
      <w:r>
        <w:t xml:space="preserve">“</w:t>
      </w:r>
      <w:r>
        <w:t xml:space="preserve">brms</w:t>
      </w:r>
      <w:r>
        <w:t xml:space="preserve">”</w:t>
      </w:r>
      <w:r>
        <w:t xml:space="preserve"> </w:t>
      </w:r>
      <w:r>
        <w:t xml:space="preserve">for the intercepts on the mean and dispersion part of the model.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prior (</w:t>
      </w:r>
      <m:oMath>
        <m:r>
          <m:t>N</m:t>
        </m:r>
        <m:d>
          <m:dPr>
            <m:begChr m:val="("/>
            <m:endChr m:val=")"/>
            <m:sepChr m:val=""/>
            <m:grow/>
          </m:dPr>
          <m:e>
            <m:r>
              <m:t>0</m:t>
            </m:r>
            <m:r>
              <m:rPr>
                <m:sty m:val="p"/>
              </m:rPr>
              <m:t>,</m:t>
            </m:r>
            <m:r>
              <m:t> </m:t>
            </m:r>
            <m:r>
              <m:t>1</m:t>
            </m:r>
          </m:e>
        </m:d>
      </m:oMath>
      <w:r>
        <w:t xml:space="preserve">) on the random effects for the mean part of the model (equations 1.1, 2.1, and 3), and the default</w:t>
      </w:r>
      <w:r>
        <w:t xml:space="preserve"> </w:t>
      </w:r>
      <w:r>
        <w:t xml:space="preserve">“</w:t>
      </w:r>
      <w:r>
        <w:t xml:space="preserve">brms</w:t>
      </w:r>
      <w:r>
        <w:t xml:space="preserve">”</w:t>
      </w:r>
      <w:r>
        <w:t xml:space="preserve"> </w:t>
      </w:r>
      <w:r>
        <w:t xml:space="preserve">Student t prior for the dispersion part of the model (equations 1.2 and 2.2).</w:t>
      </w:r>
    </w:p>
    <w:bookmarkEnd w:id="31"/>
    <w:bookmarkStart w:id="32" w:name="markov-chain-monte-carlo-settings"/>
    <w:p>
      <w:pPr>
        <w:pStyle w:val="Titre3"/>
      </w:pPr>
      <w:r>
        <w:t xml:space="preserve">Markov Chain Monte Carlo settings</w:t>
      </w:r>
    </w:p>
    <w:p>
      <w:pPr>
        <w:pStyle w:val="FirstParagraph"/>
      </w:pPr>
      <w:r>
        <w:t xml:space="preserve">We parametrized every model described above to run four MCMC chains with 1000 posterior samples for each parameter. We ran 2500 iterations with a thinning set to eight for the additive model with a global smoother only (see Table I), and 1500 iterations with a thinning set to four for the additive model with global and group-level smoothers and for the additive model with group-level smoothers only (Table I). We set the first 500 iterations in each model as warmups. We parametrized the MDHGLM to run 2500 iterations with a thinning set to 8, with the first 500 iterations used as warmups. We assessed the convergence of the MCMC chains using trace plots, R-hat diagnostics with a threshold of &lt;1.01, and effective sample sizes (ESS) with a threshold of &gt;100 for the bulk-ESS and tail-ESS</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2"/>
    <w:bookmarkEnd w:id="33"/>
    <w:bookmarkEnd w:id="34"/>
    <w:bookmarkStart w:id="39" w:name="results"/>
    <w:p>
      <w:pPr>
        <w:pStyle w:val="Titre1"/>
      </w:pPr>
      <w:r>
        <w:t xml:space="preserve">RESULTS</w:t>
      </w:r>
    </w:p>
    <w:bookmarkStart w:id="35" w:name="X49e34d012182956988a00f0ff153f675c48b853"/>
    <w:p>
      <w:pPr>
        <w:pStyle w:val="Titre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Corpsdetexte"/>
      </w:pPr>
      <w:r>
        <w:t xml:space="preserve">We predicted that the relationship between hunting success and experience would vary among predators because they should differ in the type of prey that they encounter. However, after controlling for the mean speed of the prey group within a match, we did not find evidence confirming this prediction, because differences among predators remained stable (Figure 1B).</w:t>
      </w:r>
    </w:p>
    <w:bookmarkEnd w:id="35"/>
    <w:bookmarkStart w:id="36" w:name="X6edf630a269e5217c76dd70c0476a389c38d682"/>
    <w:p>
      <w:pPr>
        <w:pStyle w:val="Titre2"/>
      </w:pPr>
      <w:r>
        <w:t xml:space="preserve">Effect of experience on the development of behavioural specialization</w:t>
      </w:r>
    </w:p>
    <w:p>
      <w:pPr>
        <w:pStyle w:val="FirstParagraph"/>
      </w:pPr>
      <w:r>
        <w:t xml:space="preserve">At the population level, predators did not change their mean speed with experience (i.e. intercept of the mean predator speed; Table 2). Moreover, there was no directional increase in foraging flexibility or specialization with experience. Indeed, the observed pattern is more complex given that predators became more flexible with experience at intermediate levels of experience (i.e. intercept of sigma for predator speed is larger for intermediates than novices; Table 2 and Appendix S1: Figure S3), but then return to novice-levels of flexibility with advanced experience (i.e. intercept of sigma for predator speed is smaller for advanced players than intermediates; Table 2 and Appendix S1: Figure S3). Thus, our analyses suggest that population-level behavioural specialization changes nonlinearly (quadratic) with experience rather than linearly.</w:t>
      </w:r>
    </w:p>
    <w:p>
      <w:pPr>
        <w:pStyle w:val="Corpsdetexte"/>
      </w:pPr>
      <w:r>
        <w:t xml:space="preserve">At the individual level, we detected differences in the mean movement speed among predators (i.e. the intercept of the mean speed for the predator ID; Table 3). These differences remained stable from the novice to the intermediate stages, and then increased at the advanced stage to reach a level higher than when predators were novice (Table 3 and Appendix S1: Figure S3). Predators displayed considerable differences in their degree of hunting specialization, and these differences increased with experience (i.e. the intercept of sigma for the predator ID increases with experience; Table 3 and Appendix S1: Figure S3). Thus, as individual predators gain experience, the population becomes more heterogeneous, with an assemblage of both specialist and flexible hunters. Moreover, some individual predators switched from a flexible to a specialized hunting tactic, and vice-versa, as they gained experience (Figure 2). Importantly, 12.6% of the predator population displayed a large change in foraging specialization/flexibility with experience (i.e. $</w:t>
      </w:r>
      <w:r>
        <w:t xml:space="preserve">$0.2 change in standard deviation), 44.7% displayed lower changes (i.e. &gt;0.05 and &lt;0.2 change in standard deviation), while 42.7% remained relatively stable (i.e. $</w:t>
      </w:r>
      <w:r>
        <w:t xml:space="preserve">$0.05 change in standard deviation).</w:t>
      </w:r>
    </w:p>
    <w:p>
      <w:pPr>
        <w:pStyle w:val="Corpsdetexte"/>
      </w:pPr>
      <w:r>
        <w:t xml:space="preserve">As we predicted, predators differed in the mean speed of the prey that they encountered across matches. Thus, some individuals encountered prey that were on average slower, while others encountered prey that where on average faster throughout the study period (i.e. the intercept of the mean prey speed for the predator ID; Table 3). These differences were greater when predators reached an advanced level of hunting experience (i.e. the intercept of the mean prey speed for the predator ID was higher at the advanced stage; Table 3 and Appendix S1: Figure S3). In addition, individuals differed in the heterogeneity of the groups of prey encountered across the study period. Hence, some predators encountered prey groups with similar average speeds, while others encountered prey groups with different average speeds throughout the study period (i.e. the intercept of sigma prey speed for the predator ID; Table 3).</w:t>
      </w:r>
    </w:p>
    <w:bookmarkEnd w:id="36"/>
    <w:bookmarkStart w:id="37" w:name="Xa5033a5fb05bdfc06237c5869f6197e2d718108"/>
    <w:p>
      <w:pPr>
        <w:pStyle w:val="Titre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Figure 3 and Appendix S2: Table S1). Thus, faster predators specialized on fast movement, while slower predators were more flexible in their movement through time. Predators that were on average faster (mean) also encountered groups of prey that were on average faster (mean) (Figure 3 and Appendix S2: Table S1). At the three experience levels, there were only weak correlations between IIV in predator speed and mean prey speed (Figure 3 and Appendix S2: Table S1). However, predators that encountered groups of prey with similar speeds (IIV) specialized in their hunting tactic (IIV) (Figure 3 and Appendix S2: Table S1). Hence, predators that encountered groups of prey with similar average speeds were more specialized, while those that encountered groups of prey with different average speeds were more flexible. For all the results described above, the correlations strengthen as predators gain experience (Figure 3 and Appendix S2: Table S1).</w:t>
      </w:r>
    </w:p>
    <w:bookmarkEnd w:id="37"/>
    <w:bookmarkStart w:id="38" w:name="X97d8a9e147c9f69411c72343e7f467948ed7cd6"/>
    <w:p>
      <w:pPr>
        <w:pStyle w:val="Titre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novice individuals that encountered groups of prey with faster speeds were less successful (Figure 3 and Appendix S2: Table S1).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38"/>
    <w:bookmarkEnd w:id="39"/>
    <w:bookmarkStart w:id="43" w:name="discussion"/>
    <w:p>
      <w:pPr>
        <w:pStyle w:val="Titre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prey; some specialized in fast-paced hunting, and others adopted a slower and more flexible tactic with experience. Specialized cursorial hunters encountered similar groups of prey while slower and flexible hunters encountered varying groups of prey, with both achieving similar success over the study period. With experience, predators increasingly matched their tactic to the speed of the prey that they encountered, which simultaneously relaxed the negative consequences of encountering faster prey. Together, our observations suggest that predators in</w:t>
      </w:r>
      <w:r>
        <w:t xml:space="preserve"> </w:t>
      </w:r>
      <w:r>
        <w:rPr>
          <w:iCs/>
          <w:i/>
        </w:rPr>
        <w:t xml:space="preserve">DBD</w:t>
      </w:r>
      <w:r>
        <w:t xml:space="preserve"> </w:t>
      </w:r>
      <w:r>
        <w:t xml:space="preserve">learn to adjust their hunting tactic to the behaviour of the prey that they encounter throughout their lifetime in the game.</w:t>
      </w:r>
    </w:p>
    <w:bookmarkStart w:id="40"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has repeated measures of individual success through time. Our analyses revealed that there was no population increase in expertise over time. As we mentioned before, the matchmaking pairs players using a rank-based system, and this result may thus be due to predators being paired with prey of similar skills. However, if this was solely due to the ranking system, we would have found a similar flat relationship for every predator. Instead, individual predators in</w:t>
      </w:r>
      <w:r>
        <w:t xml:space="preserve"> </w:t>
      </w:r>
      <w:r>
        <w:rPr>
          <w:iCs/>
          <w:i/>
        </w:rPr>
        <w:t xml:space="preserve">DBD</w:t>
      </w:r>
      <w:r>
        <w:t xml:space="preserve"> </w:t>
      </w:r>
      <w:r>
        <w:t xml:space="preserve">displayed distinct patterns of expertise acquisition (Figure 1, Appendix S1: Figure S1A-S1B).</w:t>
      </w:r>
    </w:p>
    <w:p>
      <w:pPr>
        <w:pStyle w:val="Corpsdetexte"/>
      </w:pPr>
      <w:r>
        <w:t xml:space="preserve">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 [</w:t>
      </w:r>
      <w:r>
        <w:t xml:space="preserve">Walker et al. (2005)</w:t>
      </w:r>
      <w:r>
        <w:t xml:space="preserve">;</w:t>
      </w:r>
      <w:r>
        <w:t xml:space="preserve">Kelley and Magurran (2011)</w:t>
      </w:r>
      <w:r>
        <w:t xml:space="preserve">;Martin.etal2022]. Yet, prey speed did not shape individual differences in expertise acquisition, but other antipredator tactics may be involved. For example, it is well known in</w:t>
      </w:r>
      <w:r>
        <w:t xml:space="preserve"> </w:t>
      </w:r>
      <w:r>
        <w:rPr>
          <w:iCs/>
          <w:i/>
        </w:rPr>
        <w:t xml:space="preserve">DBD</w:t>
      </w:r>
      <w:r>
        <w:t xml:space="preserve"> </w:t>
      </w:r>
      <w:r>
        <w:t xml:space="preserve">that some prey groups use mobbing to confuse the predator or prevent it from capturing an injured individual. However, like natural predator-prey systems, direct predator-mobbing in</w:t>
      </w:r>
      <w:r>
        <w:t xml:space="preserve"> </w:t>
      </w:r>
      <w:r>
        <w:rPr>
          <w:iCs/>
          <w:i/>
        </w:rPr>
        <w:t xml:space="preserve">DBD</w:t>
      </w:r>
      <w:r>
        <w:t xml:space="preserve"> </w:t>
      </w:r>
      <w:r>
        <w:t xml:space="preserve">is dangerous and requires coordinated actions that are learned through experience</w:t>
      </w:r>
      <w:r>
        <w:t xml:space="preserve"> </w:t>
      </w:r>
      <w:r>
        <w:t xml:space="preserve">(Graw and Manser 2007, Dutour et al. 2016, 2019, Pitman et al. 2017, Szymkowiak 2021)</w:t>
      </w:r>
      <w:r>
        <w:t xml:space="preserve">, and was thus probably not a pervasive antipredator strategy. Other antipredator tactics known to confuse human and non-human predators during the attack sequence are unpredictable escapes and turning angles</w:t>
      </w:r>
      <w:r>
        <w:t xml:space="preserve"> </w:t>
      </w:r>
      <w:r>
        <w:t xml:space="preserve">(Jones et al. 2011, Briffa 2013, Herbert-Read et al. 2017, Moore et al. 2017, Richardson et al. 2018)</w:t>
      </w:r>
      <w:r>
        <w:t xml:space="preserve">. While predators can adjust to unpredictable prey escapes</w:t>
      </w:r>
      <w:r>
        <w:t xml:space="preserve"> </w:t>
      </w:r>
      <w:r>
        <w:t xml:space="preserve">(Szopa-Comley and Ioannou 2022)</w:t>
      </w:r>
      <w:r>
        <w:t xml:space="preserve">, it could still be more arduous for a predator to learn and optimize its hunting success if it more often encountered prey using these tactics.</w:t>
      </w:r>
    </w:p>
    <w:p>
      <w:pPr>
        <w:pStyle w:val="Corpsdetexte"/>
      </w:pPr>
      <w:r>
        <w:t xml:space="preserve">Alternatively, it is possible that individual variation in learning rates due to time delays between hunting events drove the observed differences in expertise acquisition, irrespective of the prey groups that predators encountered.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may have differed in their ability to detect prey. For example, it is widely demonstrated that predators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individual predators should differ in their expertise if they do not learn equally how to exploit the visual cues that facilitate prey detection.</w:t>
      </w:r>
    </w:p>
    <w:bookmarkEnd w:id="40"/>
    <w:bookmarkStart w:id="41"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predators in</w:t>
      </w:r>
      <w:r>
        <w:t xml:space="preserve"> </w:t>
      </w:r>
      <w:r>
        <w:rPr>
          <w:iCs/>
          <w:i/>
        </w:rPr>
        <w:t xml:space="preserve">DBD</w:t>
      </w:r>
      <w:r>
        <w:t xml:space="preserve"> </w:t>
      </w:r>
      <w:r>
        <w:t xml:space="preserve">were probably exploring and refining different tactics at this stage of experience. Within the population, differences in individual foraging specialization among predators increased with experience, which was related to the degree of variability in prey encounters.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This is further supported by the fact that specialist and flexible hunters both achieved similar success throughout the study period. Interestingly, the behavioural response (i.e. tactic use and specialization) to experience by individual predators differed. For instance, 42.7% of the population did not alter their degree of specialization with experience (i.e. remaining either faster and more specialized, or slower and more flexible), while 57.3% of the population displayed a switch from a specialized to a flexible tactic or vice-versa with experience. Thus, our results provide direct evidence that the mechanism underlying the resource-predictability hypothesis may indeed involve predators learning at varying degrees how to specialize on their prey</w:t>
      </w:r>
      <w:r>
        <w:t xml:space="preserve"> </w:t>
      </w:r>
      <w:r>
        <w:t xml:space="preserve">(Weimerskirch et al. 2005, Weimerskirch 2007, Woo et al. 2008, Phillips et al. 2017)</w:t>
      </w:r>
      <w:r>
        <w:t xml:space="preserve">.</w:t>
      </w:r>
    </w:p>
    <w:p>
      <w:pPr>
        <w:pStyle w:val="Corpsdetexte"/>
      </w:pPr>
      <w:r>
        <w:t xml:space="preserve">As predators gained experience, their tactic was increasingly matched to the speed of their prey. One interpretation could be that both predators and prey learned from each other in an arms-race-like reciprocal relationship</w:t>
      </w:r>
      <w:r>
        <w:t xml:space="preserve"> </w:t>
      </w:r>
      <w:r>
        <w:t xml:space="preserve">(Kishida et al. 2006, 2009, Edgell and Rochette 2009, Mougi et al. 2011)</w:t>
      </w:r>
      <w:r>
        <w:t xml:space="preserve">. For instance, predators that encountered faster prey could have learned to increase their speed to better capture them, resulting in an increase in the speed of the prey to circumvent the predator’s attacks. In this type of system, faster prey should be better at escaping both slower and faster predators</w:t>
      </w:r>
      <w:r>
        <w:t xml:space="preserve"> </w:t>
      </w:r>
      <w:r>
        <w:t xml:space="preserve">(Mougi et al. 2011)</w:t>
      </w:r>
      <w:r>
        <w:t xml:space="preserve">, which concords with what we previously observed in this sytem</w:t>
      </w:r>
      <w:r>
        <w:t xml:space="preserve"> </w:t>
      </w:r>
      <w:r>
        <w:t xml:space="preserve">(Fraser Franco et al. 2022)</w:t>
      </w:r>
      <w:r>
        <w:t xml:space="preserve">.</w:t>
      </w:r>
      <w:r>
        <w:t xml:space="preserve"> </w:t>
      </w:r>
      <w:r>
        <w:t xml:space="preserve">Brodie III and Brodie Jr. (1999)</w:t>
      </w:r>
      <w:r>
        <w:t xml:space="preserve"> </w:t>
      </w:r>
      <w:r>
        <w:t xml:space="preserve">argue that when prey express defensive phenotypes (e.g. physical armaments or venom), selection on predators should be strong because the consequences of being injured are greater than missing a meal. If predators improve their exploitative ability, then an arms-race should emerge, and the consequences of hunting dangerous prey should decrease</w:t>
      </w:r>
      <w:r>
        <w:t xml:space="preserve"> </w:t>
      </w:r>
      <w:r>
        <w:t xml:space="preserve">(Brodie III and Brodie Jr. 1999)</w:t>
      </w:r>
      <w:r>
        <w:t xml:space="preserve">. Similarly, we found that has the predator gained experience, the negative consequences of encountering prey groups with higher speeds were relaxed, and the variation in success among predators decreased. However, in an arms-race, faster predators would have successfully preyed upon faster and slower prey and would have obtained higher success than slower predators</w:t>
      </w:r>
      <w:r>
        <w:t xml:space="preserve"> </w:t>
      </w:r>
      <w:r>
        <w:t xml:space="preserve">(Mougi et al. 2011)</w:t>
      </w:r>
      <w:r>
        <w:t xml:space="preserve">, which was not the case in the present study. A more likely scenario is that predators and prey in</w:t>
      </w:r>
      <w:r>
        <w:t xml:space="preserve"> </w:t>
      </w:r>
      <w:r>
        <w:rPr>
          <w:iCs/>
          <w:i/>
        </w:rPr>
        <w:t xml:space="preserve">DBD</w:t>
      </w:r>
      <w:r>
        <w:t xml:space="preserve"> </w:t>
      </w:r>
      <w:r>
        <w:t xml:space="preserve">were involved in a matching response relationship</w:t>
      </w:r>
      <w:r>
        <w:t xml:space="preserve"> </w:t>
      </w:r>
      <w:r>
        <w:t xml:space="preserve">(Mougi et al. 2011)</w:t>
      </w:r>
      <w:r>
        <w:t xml:space="preserve">, because faster-specialist and slower-flexible hunters preyed upon different prey, but they both achieved equal success. Thus predators in</w:t>
      </w:r>
      <w:r>
        <w:t xml:space="preserve"> </w:t>
      </w:r>
      <w:r>
        <w:rPr>
          <w:iCs/>
          <w:i/>
        </w:rPr>
        <w:t xml:space="preserve">DBD</w:t>
      </w:r>
      <w:r>
        <w:t xml:space="preserve"> </w:t>
      </w:r>
      <w:r>
        <w:t xml:space="preserve">appear to optimize their success by learning to match their tactic to their prey with experience, suggesting that learning through reciprocal interactions may attenuate selection exerted by prey on predators</w:t>
      </w:r>
      <w:r>
        <w:t xml:space="preserve"> </w:t>
      </w:r>
      <w:r>
        <w:t xml:space="preserve">(Anderson 1995, Ancel 1999, Borenstein et al. 2006, Paenke et al. 2007)</w:t>
      </w:r>
      <w:r>
        <w:t xml:space="preserve">.</w:t>
      </w:r>
    </w:p>
    <w:bookmarkEnd w:id="41"/>
    <w:bookmarkStart w:id="42" w:name="conclusions"/>
    <w:p>
      <w:pPr>
        <w:pStyle w:val="Titre2"/>
      </w:pPr>
      <w:r>
        <w:t xml:space="preserve">Conclusions</w:t>
      </w:r>
    </w:p>
    <w:p>
      <w:pPr>
        <w:pStyle w:val="FirstParagraph"/>
      </w:pPr>
      <w:r>
        <w:t xml:space="preserve">Trait-mediated predator-prey interactions are important processes involved in population cycles and should occur when predators match their phenotype to their prey</w:t>
      </w:r>
      <w:r>
        <w:t xml:space="preserve"> </w:t>
      </w:r>
      <w:r>
        <w:t xml:space="preserve">(Abrams 2000)</w:t>
      </w:r>
      <w:r>
        <w:t xml:space="preserve">. Yet, it has remained largely unknown whether this trait-matching results from predators learning how to capture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half of the predator population changed their behaviour by developping either a specialized or flexible tactic that was matched to the speed of their prey. Overall, both type of hunters achieved equal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2"/>
    <w:bookmarkEnd w:id="43"/>
    <w:bookmarkStart w:id="44"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4"/>
    <w:bookmarkStart w:id="45" w:name="conflict-of-interest-statement"/>
    <w:p>
      <w:pPr>
        <w:pStyle w:val="Titre1"/>
      </w:pPr>
      <w:r>
        <w:t xml:space="preserve">CONFLICT OF INTEREST STATEMENT</w:t>
      </w:r>
    </w:p>
    <w:p>
      <w:pPr>
        <w:pStyle w:val="FirstParagraph"/>
      </w:pPr>
      <w:r>
        <w:t xml:space="preserve">The authors declare no conflict of interest</w:t>
      </w:r>
    </w:p>
    <w:p>
      <w:r>
        <w:br w:type="page"/>
      </w:r>
    </w:p>
    <w:bookmarkEnd w:id="45"/>
    <w:bookmarkStart w:id="260" w:name="references"/>
    <w:p>
      <w:pPr>
        <w:pStyle w:val="Titre1"/>
      </w:pPr>
      <w:r>
        <w:t xml:space="preserve">REFERENCES</w:t>
      </w:r>
    </w:p>
    <w:bookmarkStart w:id="259" w:name="refs"/>
    <w:bookmarkStart w:id="47" w:name="X9ccdc79884b0c2eb3254f9953598a7b82871539"/>
    <w:p>
      <w:pPr>
        <w:pStyle w:val="Bibliographie"/>
      </w:pPr>
      <w:r>
        <w:t xml:space="preserve">Abrams, P. A. 2000.</w:t>
      </w:r>
      <w:r>
        <w:t xml:space="preserve"> </w:t>
      </w:r>
      <w:hyperlink r:id="rId46">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7"/>
    <w:bookmarkStart w:id="49" w:name="ref-Ancel1999"/>
    <w:p>
      <w:pPr>
        <w:pStyle w:val="Bibliographie"/>
      </w:pPr>
      <w:r>
        <w:t xml:space="preserve">Ancel, L. W. 1999.</w:t>
      </w:r>
      <w:r>
        <w:t xml:space="preserve"> </w:t>
      </w:r>
      <w:hyperlink r:id="rId48">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9"/>
    <w:bookmarkStart w:id="51" w:name="ref-Anderson1995"/>
    <w:p>
      <w:pPr>
        <w:pStyle w:val="Bibliographie"/>
      </w:pPr>
      <w:r>
        <w:t xml:space="preserve">Anderson, R. W. 1995.</w:t>
      </w:r>
      <w:r>
        <w:t xml:space="preserve"> </w:t>
      </w:r>
      <w:hyperlink r:id="rId50">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1"/>
    <w:bookmarkStart w:id="53" w:name="ref-Araujo.etal2011"/>
    <w:p>
      <w:pPr>
        <w:pStyle w:val="Bibliographie"/>
      </w:pPr>
      <w:r>
        <w:t xml:space="preserve">Araújo, M. S., D. I. Bolnick, and C. A. Layman. 2011.</w:t>
      </w:r>
      <w:r>
        <w:t xml:space="preserve"> </w:t>
      </w:r>
      <w:hyperlink r:id="rId52">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3"/>
    <w:bookmarkStart w:id="55" w:name="ref-Barbe.etal2020"/>
    <w:p>
      <w:pPr>
        <w:pStyle w:val="Bibliographie"/>
      </w:pPr>
      <w:r>
        <w:t xml:space="preserve">Barbe, L., C. Mony, and B. W. Abbott. 2020.</w:t>
      </w:r>
      <w:r>
        <w:t xml:space="preserve"> </w:t>
      </w:r>
      <w:hyperlink r:id="rId54">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5"/>
    <w:bookmarkStart w:id="57" w:name="ref-Beauchamp2020"/>
    <w:p>
      <w:pPr>
        <w:pStyle w:val="Bibliographie"/>
      </w:pPr>
      <w:r>
        <w:t xml:space="preserve">Beauchamp, G. 2020.</w:t>
      </w:r>
      <w:r>
        <w:t xml:space="preserve"> </w:t>
      </w:r>
      <w:hyperlink r:id="rId56">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7"/>
    <w:bookmarkStart w:id="59" w:name="ref-Borenstein.etal2006"/>
    <w:p>
      <w:pPr>
        <w:pStyle w:val="Bibliographie"/>
      </w:pPr>
      <w:r>
        <w:t xml:space="preserve">Borenstein, E., I. Meilijson, and E. Ruppin. 2006.</w:t>
      </w:r>
      <w:r>
        <w:t xml:space="preserve"> </w:t>
      </w:r>
      <w:hyperlink r:id="rId58">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9"/>
    <w:bookmarkStart w:id="61" w:name="ref-Bowen.etal2002"/>
    <w:p>
      <w:pPr>
        <w:pStyle w:val="Bibliographie"/>
      </w:pPr>
      <w:r>
        <w:t xml:space="preserve">Bowen, W. D., D. Tully, D. J. Boness, B. M. Bulheier, and G. J. Marshall. 2002.</w:t>
      </w:r>
      <w:r>
        <w:t xml:space="preserve"> </w:t>
      </w:r>
      <w:hyperlink r:id="rId60">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1"/>
    <w:bookmarkStart w:id="63" w:name="ref-Briffa2013"/>
    <w:p>
      <w:pPr>
        <w:pStyle w:val="Bibliographie"/>
      </w:pPr>
      <w:r>
        <w:t xml:space="preserve">Briffa, M. 2013.</w:t>
      </w:r>
      <w:r>
        <w:t xml:space="preserve"> </w:t>
      </w:r>
      <w:hyperlink r:id="rId62">
        <w:r>
          <w:rPr>
            <w:rStyle w:val="Lienhypertexte"/>
          </w:rPr>
          <w:t xml:space="preserve">Plastic</w:t>
        </w:r>
        <w:r>
          <w:rPr>
            <w:rStyle w:val="Lienhypertexte"/>
          </w:rPr>
          <w:t xml:space="preserve"> </w:t>
        </w:r>
        <w:r>
          <w:rPr>
            <w:rStyle w:val="Lienhypertexte"/>
          </w:rPr>
          <w:t xml:space="preserve">Proteans</w:t>
        </w:r>
        <w:r>
          <w:rPr>
            <w:rStyle w:val="Lienhypertexte"/>
          </w:rPr>
          <w:t xml:space="preserve">:</w:t>
        </w:r>
        <w:r>
          <w:rPr>
            <w:rStyle w:val="Lienhypertexte"/>
          </w:rPr>
          <w:t xml:space="preserve"> </w:t>
        </w:r>
        <w:r>
          <w:rPr>
            <w:rStyle w:val="Lienhypertexte"/>
          </w:rPr>
          <w:t xml:space="preserve">Reduced Predictability</w:t>
        </w:r>
        <w:r>
          <w:rPr>
            <w:rStyle w:val="Lienhypertexte"/>
          </w:rPr>
          <w:t xml:space="preserve"> </w:t>
        </w:r>
        <w:r>
          <w:rPr>
            <w:rStyle w:val="Lienhypertexte"/>
          </w:rPr>
          <w:t xml:space="preserve">in the</w:t>
        </w:r>
        <w:r>
          <w:rPr>
            <w:rStyle w:val="Lienhypertexte"/>
          </w:rPr>
          <w:t xml:space="preserve"> </w:t>
        </w:r>
        <w:r>
          <w:rPr>
            <w:rStyle w:val="Lienhypertexte"/>
          </w:rPr>
          <w:t xml:space="preserve">Face</w:t>
        </w:r>
        <w:r>
          <w:rPr>
            <w:rStyle w:val="Lienhypertexte"/>
          </w:rPr>
          <w:t xml:space="preserve"> </w:t>
        </w:r>
        <w:r>
          <w:rPr>
            <w:rStyle w:val="Lienhypertexte"/>
          </w:rPr>
          <w:t xml:space="preserve">of</w:t>
        </w:r>
        <w:r>
          <w:rPr>
            <w:rStyle w:val="Lienhypertexte"/>
          </w:rPr>
          <w:t xml:space="preserve"> </w:t>
        </w:r>
        <w:r>
          <w:rPr>
            <w:rStyle w:val="Lienhypertexte"/>
          </w:rPr>
          <w:t xml:space="preserve">Predation Risk</w:t>
        </w:r>
        <w:r>
          <w:rPr>
            <w:rStyle w:val="Lienhypertexte"/>
          </w:rPr>
          <w:t xml:space="preserve"> </w:t>
        </w:r>
        <w:r>
          <w:rPr>
            <w:rStyle w:val="Lienhypertexte"/>
          </w:rPr>
          <w:t xml:space="preserve">in</w:t>
        </w:r>
        <w:r>
          <w:rPr>
            <w:rStyle w:val="Lienhypertexte"/>
          </w:rPr>
          <w:t xml:space="preserve"> </w:t>
        </w:r>
        <w:r>
          <w:rPr>
            <w:rStyle w:val="Lienhypertexte"/>
          </w:rPr>
          <w:t xml:space="preserve">Hermit Crabs</w:t>
        </w:r>
      </w:hyperlink>
      <w:r>
        <w:t xml:space="preserve">. Biology Letters 9:20130592.</w:t>
      </w:r>
    </w:p>
    <w:bookmarkEnd w:id="63"/>
    <w:bookmarkStart w:id="65" w:name="ref-brodieCoEvolutionPredatorsPrey2010"/>
    <w:p>
      <w:pPr>
        <w:pStyle w:val="Bibliographie"/>
      </w:pPr>
      <w:r>
        <w:t xml:space="preserve">Brodie, E. D., and A. Wilkinson. 2010.</w:t>
      </w:r>
      <w:r>
        <w:t xml:space="preserve"> </w:t>
      </w:r>
      <w:hyperlink r:id="rId64">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5"/>
    <w:bookmarkStart w:id="67" w:name="ref-BrodieIII.BrodieJr.1999"/>
    <w:p>
      <w:pPr>
        <w:pStyle w:val="Bibliographie"/>
      </w:pPr>
      <w:r>
        <w:t xml:space="preserve">Brodie III, E. D., and E. D. Brodie Jr. 1999.</w:t>
      </w:r>
      <w:r>
        <w:t xml:space="preserve"> </w:t>
      </w:r>
      <w:hyperlink r:id="rId66">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7"/>
    <w:bookmarkStart w:id="69" w:name="ref-Bro-Jorgensen2013"/>
    <w:p>
      <w:pPr>
        <w:pStyle w:val="Bibliographie"/>
      </w:pPr>
      <w:r>
        <w:t xml:space="preserve">Bro-Jørgensen, J. 2013.</w:t>
      </w:r>
      <w:r>
        <w:t xml:space="preserve"> </w:t>
      </w:r>
      <w:hyperlink r:id="rId68">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9"/>
    <w:bookmarkStart w:id="71" w:name="ref-Burkner2017"/>
    <w:p>
      <w:pPr>
        <w:pStyle w:val="Bibliographie"/>
      </w:pPr>
      <w:r>
        <w:t xml:space="preserve">Bürkner, P.-C. 2017.</w:t>
      </w:r>
      <w:r>
        <w:t xml:space="preserve"> </w:t>
      </w:r>
      <w:hyperlink r:id="rId70">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1"/>
    <w:bookmarkStart w:id="73" w:name="ref-Carey.Wahl2011"/>
    <w:p>
      <w:pPr>
        <w:pStyle w:val="Bibliographie"/>
      </w:pPr>
      <w:r>
        <w:t xml:space="preserve">Carey, M. P., and D. H. Wahl. 2011.</w:t>
      </w:r>
      <w:r>
        <w:t xml:space="preserve"> </w:t>
      </w:r>
      <w:hyperlink r:id="rId72">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3"/>
    <w:bookmarkStart w:id="75" w:name="ref-Cere.etal2021"/>
    <w:p>
      <w:pPr>
        <w:pStyle w:val="Bibliographie"/>
      </w:pPr>
      <w:r>
        <w:t xml:space="preserve">Céré, J., P.-O. Montiglio, and C. D. Kelly. 2021.</w:t>
      </w:r>
      <w:r>
        <w:t xml:space="preserve"> </w:t>
      </w:r>
      <w:hyperlink r:id="rId74">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5"/>
    <w:bookmarkStart w:id="77" w:name="ref-Chang.etal2017"/>
    <w:p>
      <w:pPr>
        <w:pStyle w:val="Bibliographie"/>
      </w:pPr>
      <w:r>
        <w:t xml:space="preserve">Chang, C., H. Y. Teo, Y. Norma-Rashid, and D. Li. 2017.</w:t>
      </w:r>
      <w:r>
        <w:t xml:space="preserve"> </w:t>
      </w:r>
      <w:hyperlink r:id="rId76">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7"/>
    <w:bookmarkStart w:id="79" w:name="ref-Cleasby.etal2015"/>
    <w:p>
      <w:pPr>
        <w:pStyle w:val="Bibliographie"/>
      </w:pPr>
      <w:r>
        <w:t xml:space="preserve">Cleasby, I. R., S. Nakagawa, and H. Schielzeth. 2015.</w:t>
      </w:r>
      <w:r>
        <w:t xml:space="preserve"> </w:t>
      </w:r>
      <w:hyperlink r:id="rId78">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9"/>
    <w:bookmarkStart w:id="81" w:name="ref-Courbin.etal2018"/>
    <w:p>
      <w:pPr>
        <w:pStyle w:val="Bibliographie"/>
      </w:pPr>
      <w:r>
        <w:t xml:space="preserve">Courbin, N., A. Besnard, C. Péron, C. Saraux, J. Fort, S. Perret, J. Tornos, and D. Grémillet. 2018.</w:t>
      </w:r>
      <w:r>
        <w:t xml:space="preserve"> </w:t>
      </w:r>
      <w:hyperlink r:id="rId80">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1"/>
    <w:bookmarkStart w:id="83" w:name="ref-Davoren.etal2003"/>
    <w:p>
      <w:pPr>
        <w:pStyle w:val="Bibliographie"/>
      </w:pPr>
      <w:r>
        <w:t xml:space="preserve">Davoren, G. K., W. A. Montevecchi, and J. T. Anderson. 2003.</w:t>
      </w:r>
      <w:r>
        <w:t xml:space="preserve"> </w:t>
      </w:r>
      <w:hyperlink r:id="rId82">
        <w:r>
          <w:rPr>
            <w:rStyle w:val="Lienhypertexte"/>
          </w:rPr>
          <w:t xml:space="preserve">Search</w:t>
        </w:r>
        <w:r>
          <w:rPr>
            <w:rStyle w:val="Lienhypertexte"/>
          </w:rPr>
          <w:t xml:space="preserve"> </w:t>
        </w:r>
        <w:r>
          <w:rPr>
            <w:rStyle w:val="Lienhypertexte"/>
          </w:rPr>
          <w:t xml:space="preserve">Strategies</w:t>
        </w:r>
        <w:r>
          <w:rPr>
            <w:rStyle w:val="Lienhypertexte"/>
          </w:rPr>
          <w:t xml:space="preserve"> </w:t>
        </w:r>
        <w:r>
          <w:rPr>
            <w:rStyle w:val="Lienhypertexte"/>
          </w:rPr>
          <w:t xml:space="preserve">of a</w:t>
        </w:r>
        <w:r>
          <w:rPr>
            <w:rStyle w:val="Lienhypertexte"/>
          </w:rPr>
          <w:t xml:space="preserve"> </w:t>
        </w:r>
        <w:r>
          <w:rPr>
            <w:rStyle w:val="Lienhypertexte"/>
          </w:rPr>
          <w:t xml:space="preserve">Pursuit-Diving Marine Bird</w:t>
        </w:r>
        <w:r>
          <w:rPr>
            <w:rStyle w:val="Lienhypertexte"/>
          </w:rPr>
          <w:t xml:space="preserve"> </w:t>
        </w:r>
        <w:r>
          <w:rPr>
            <w:rStyle w:val="Lienhypertexte"/>
          </w:rPr>
          <w:t xml:space="preserve">and the</w:t>
        </w:r>
        <w:r>
          <w:rPr>
            <w:rStyle w:val="Lienhypertexte"/>
          </w:rPr>
          <w:t xml:space="preserve"> </w:t>
        </w:r>
        <w:r>
          <w:rPr>
            <w:rStyle w:val="Lienhypertexte"/>
          </w:rPr>
          <w:t xml:space="preserve">Persistence</w:t>
        </w:r>
        <w:r>
          <w:rPr>
            <w:rStyle w:val="Lienhypertexte"/>
          </w:rPr>
          <w:t xml:space="preserve"> </w:t>
        </w:r>
        <w:r>
          <w:rPr>
            <w:rStyle w:val="Lienhypertexte"/>
          </w:rPr>
          <w:t xml:space="preserve">of</w:t>
        </w:r>
        <w:r>
          <w:rPr>
            <w:rStyle w:val="Lienhypertexte"/>
          </w:rPr>
          <w:t xml:space="preserve"> </w:t>
        </w:r>
        <w:r>
          <w:rPr>
            <w:rStyle w:val="Lienhypertexte"/>
          </w:rPr>
          <w:t xml:space="preserve">Prey Patches</w:t>
        </w:r>
      </w:hyperlink>
      <w:r>
        <w:t xml:space="preserve">. Ecological Monographs 73:463–481.</w:t>
      </w:r>
    </w:p>
    <w:bookmarkEnd w:id="83"/>
    <w:bookmarkStart w:id="85" w:name="ref-deGrissac.etal2016"/>
    <w:p>
      <w:pPr>
        <w:pStyle w:val="Bibliographie"/>
      </w:pPr>
      <w:r>
        <w:t xml:space="preserve">de Grissac, S., L. Börger, A. Guitteaud, and H. Weimerskirch. 2016.</w:t>
      </w:r>
      <w:r>
        <w:t xml:space="preserve"> </w:t>
      </w:r>
      <w:hyperlink r:id="rId84">
        <w:r>
          <w:rPr>
            <w:rStyle w:val="Lienhypertexte"/>
          </w:rPr>
          <w:t xml:space="preserve">Contrasting</w:t>
        </w:r>
        <w:r>
          <w:rPr>
            <w:rStyle w:val="Lienhypertexte"/>
          </w:rPr>
          <w:t xml:space="preserve"> </w:t>
        </w:r>
        <w:r>
          <w:rPr>
            <w:rStyle w:val="Lienhypertexte"/>
          </w:rPr>
          <w:t xml:space="preserve">Movement Strategies Among Juvenile Albatrosses</w:t>
        </w:r>
        <w:r>
          <w:rPr>
            <w:rStyle w:val="Lienhypertexte"/>
          </w:rPr>
          <w:t xml:space="preserve"> </w:t>
        </w:r>
        <w:r>
          <w:rPr>
            <w:rStyle w:val="Lienhypertexte"/>
          </w:rPr>
          <w:t xml:space="preserve">and</w:t>
        </w:r>
        <w:r>
          <w:rPr>
            <w:rStyle w:val="Lienhypertexte"/>
          </w:rPr>
          <w:t xml:space="preserve"> </w:t>
        </w:r>
        <w:r>
          <w:rPr>
            <w:rStyle w:val="Lienhypertexte"/>
          </w:rPr>
          <w:t xml:space="preserve">Petrels</w:t>
        </w:r>
      </w:hyperlink>
      <w:r>
        <w:t xml:space="preserve">. Scientific Reports 6:26103.</w:t>
      </w:r>
    </w:p>
    <w:bookmarkEnd w:id="85"/>
    <w:bookmarkStart w:id="87" w:name="ref-DeLisle.etal2022"/>
    <w:p>
      <w:pPr>
        <w:pStyle w:val="Bibliographie"/>
      </w:pPr>
      <w:r>
        <w:t xml:space="preserve">De Lisle, S. P., D. I. Bolnick, E. D. Brodie III, A. J. Moore, and J. W. McGlothlin. 2022.</w:t>
      </w:r>
      <w:r>
        <w:t xml:space="preserve"> </w:t>
      </w:r>
      <w:hyperlink r:id="rId86">
        <w:r>
          <w:rPr>
            <w:rStyle w:val="Lienhypertexte"/>
          </w:rPr>
          <w:t xml:space="preserve">Interacting phenotypes and the coevolutionary process: Interspecific indirect genetic effects alter coevolutionary dynamics</w:t>
        </w:r>
      </w:hyperlink>
      <w:r>
        <w:t xml:space="preserve">. Evolution 76:429–444.</w:t>
      </w:r>
    </w:p>
    <w:bookmarkEnd w:id="87"/>
    <w:bookmarkStart w:id="88" w:name="ref-Dukas1998"/>
    <w:p>
      <w:pPr>
        <w:pStyle w:val="Bibliographie"/>
      </w:pPr>
      <w:r>
        <w:t xml:space="preserve">Dukas, R. 1998. Evolutionary</w:t>
      </w:r>
      <w:r>
        <w:t xml:space="preserve"> </w:t>
      </w:r>
      <w:r>
        <w:t xml:space="preserve">Ecology</w:t>
      </w:r>
      <w:r>
        <w:t xml:space="preserve"> </w:t>
      </w:r>
      <w:r>
        <w:t xml:space="preserve">of</w:t>
      </w:r>
      <w:r>
        <w:t xml:space="preserve"> </w:t>
      </w:r>
      <w:r>
        <w:t xml:space="preserve">Learning</w:t>
      </w:r>
      <w:r>
        <w:t xml:space="preserve">.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88"/>
    <w:bookmarkStart w:id="90" w:name="ref-Dukas2019"/>
    <w:p>
      <w:pPr>
        <w:pStyle w:val="Bibliographie"/>
      </w:pPr>
      <w:r>
        <w:t xml:space="preserve">Dukas, R. 2019.</w:t>
      </w:r>
      <w:r>
        <w:t xml:space="preserve"> </w:t>
      </w:r>
      <w:hyperlink r:id="rId89">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90"/>
    <w:bookmarkStart w:id="92" w:name="ref-Duthie.etal2021"/>
    <w:p>
      <w:pPr>
        <w:pStyle w:val="Bibliographie"/>
      </w:pPr>
      <w:r>
        <w:t xml:space="preserve">Duthie, A. B., J. Minderman, O. S. Rakotonarivo, G. Ochoa, and N. Bunnefeld. 2021.</w:t>
      </w:r>
      <w:r>
        <w:t xml:space="preserve"> </w:t>
      </w:r>
      <w:hyperlink r:id="rId91">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92"/>
    <w:bookmarkStart w:id="94" w:name="ref-Dutour.etal2016"/>
    <w:p>
      <w:pPr>
        <w:pStyle w:val="Bibliographie"/>
      </w:pPr>
      <w:r>
        <w:t xml:space="preserve">Dutour, M., J.-P. Lena, and T. Lengagne. 2016.</w:t>
      </w:r>
      <w:r>
        <w:t xml:space="preserve"> </w:t>
      </w:r>
      <w:hyperlink r:id="rId93">
        <w:r>
          <w:rPr>
            <w:rStyle w:val="Lienhypertexte"/>
          </w:rPr>
          <w:t xml:space="preserve">Mobbing</w:t>
        </w:r>
        <w:r>
          <w:rPr>
            <w:rStyle w:val="Lienhypertexte"/>
          </w:rPr>
          <w:t xml:space="preserve"> </w:t>
        </w:r>
        <w:r>
          <w:rPr>
            <w:rStyle w:val="Lienhypertexte"/>
          </w:rPr>
          <w:t xml:space="preserve">Behaviour Varies According</w:t>
        </w:r>
        <w:r>
          <w:rPr>
            <w:rStyle w:val="Lienhypertexte"/>
          </w:rPr>
          <w:t xml:space="preserve"> </w:t>
        </w:r>
        <w:r>
          <w:rPr>
            <w:rStyle w:val="Lienhypertexte"/>
          </w:rPr>
          <w:t xml:space="preserve">to</w:t>
        </w:r>
        <w:r>
          <w:rPr>
            <w:rStyle w:val="Lienhypertexte"/>
          </w:rPr>
          <w:t xml:space="preserve"> </w:t>
        </w:r>
        <w:r>
          <w:rPr>
            <w:rStyle w:val="Lienhypertexte"/>
          </w:rPr>
          <w:t xml:space="preserve">Predator Dangerousness</w:t>
        </w:r>
        <w:r>
          <w:rPr>
            <w:rStyle w:val="Lienhypertexte"/>
          </w:rPr>
          <w:t xml:space="preserve"> </w:t>
        </w:r>
        <w:r>
          <w:rPr>
            <w:rStyle w:val="Lienhypertexte"/>
          </w:rPr>
          <w:t xml:space="preserve">and </w:t>
        </w:r>
        <w:r>
          <w:rPr>
            <w:rStyle w:val="Lienhypertexte"/>
          </w:rPr>
          <w:t xml:space="preserve">Occurrence</w:t>
        </w:r>
      </w:hyperlink>
      <w:r>
        <w:t xml:space="preserve">. Animal Behaviour 119:119–124.</w:t>
      </w:r>
    </w:p>
    <w:bookmarkEnd w:id="94"/>
    <w:bookmarkStart w:id="96" w:name="ref-Dutour.etal2019"/>
    <w:p>
      <w:pPr>
        <w:pStyle w:val="Bibliographie"/>
      </w:pPr>
      <w:r>
        <w:t xml:space="preserve">Dutour, M., J.-P. Léna, A. Dumet, V. Gardette, N. Mondy, and T. Lengagne. 2019.</w:t>
      </w:r>
      <w:r>
        <w:t xml:space="preserve"> </w:t>
      </w:r>
      <w:hyperlink r:id="rId95">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Associative Learning Process</w:t>
        </w:r>
        <w:r>
          <w:rPr>
            <w:rStyle w:val="Lienhypertexte"/>
          </w:rPr>
          <w:t xml:space="preserve"> </w:t>
        </w:r>
        <w:r>
          <w:rPr>
            <w:rStyle w:val="Lienhypertexte"/>
          </w:rPr>
          <w:t xml:space="preserve">on the</w:t>
        </w:r>
        <w:r>
          <w:rPr>
            <w:rStyle w:val="Lienhypertexte"/>
          </w:rPr>
          <w:t xml:space="preserve"> </w:t>
        </w:r>
        <w:r>
          <w:rPr>
            <w:rStyle w:val="Lienhypertexte"/>
          </w:rPr>
          <w:t xml:space="preserve">Response</w:t>
        </w:r>
        <w:r>
          <w:rPr>
            <w:rStyle w:val="Lienhypertexte"/>
          </w:rPr>
          <w:t xml:space="preserve"> </w:t>
        </w:r>
        <w:r>
          <w:rPr>
            <w:rStyle w:val="Lienhypertexte"/>
          </w:rPr>
          <w:t xml:space="preserve">of</w:t>
        </w:r>
        <w:r>
          <w:rPr>
            <w:rStyle w:val="Lienhypertexte"/>
          </w:rPr>
          <w:t xml:space="preserve"> </w:t>
        </w:r>
        <w:r>
          <w:rPr>
            <w:rStyle w:val="Lienhypertexte"/>
          </w:rPr>
          <w:t xml:space="preserve">Fledgling Great Tits</w:t>
        </w:r>
        <w:r>
          <w:rPr>
            <w:rStyle w:val="Lienhypertexte"/>
          </w:rPr>
          <w:t xml:space="preserve"> </w:t>
        </w:r>
        <w:r>
          <w:rPr>
            <w:rStyle w:val="Lienhypertexte"/>
          </w:rPr>
          <w:t xml:space="preserve">(</w:t>
        </w:r>
        <w:r>
          <w:rPr>
            <w:rStyle w:val="Lienhypertexte"/>
          </w:rPr>
          <w:t xml:space="preserve">Parus</w:t>
        </w:r>
        <w:r>
          <w:rPr>
            <w:rStyle w:val="Lienhypertexte"/>
          </w:rPr>
          <w:t xml:space="preserve"> </w:t>
        </w:r>
        <w:r>
          <w:rPr>
            <w:rStyle w:val="Lienhypertexte"/>
          </w:rPr>
          <w:t xml:space="preserve">major) to</w:t>
        </w:r>
        <w:r>
          <w:rPr>
            <w:rStyle w:val="Lienhypertexte"/>
          </w:rPr>
          <w:t xml:space="preserve"> </w:t>
        </w:r>
        <w:r>
          <w:rPr>
            <w:rStyle w:val="Lienhypertexte"/>
          </w:rPr>
          <w:t xml:space="preserve">Mobbing Calls</w:t>
        </w:r>
      </w:hyperlink>
      <w:r>
        <w:t xml:space="preserve">. Animal Cognition 22:1095–1103.</w:t>
      </w:r>
    </w:p>
    <w:bookmarkEnd w:id="96"/>
    <w:bookmarkStart w:id="98" w:name="ref-Edgell.Rochette2009a"/>
    <w:p>
      <w:pPr>
        <w:pStyle w:val="Bibliographie"/>
      </w:pPr>
      <w:r>
        <w:t xml:space="preserve">Edgell, T. C., and R. Rochette. 2009.</w:t>
      </w:r>
      <w:r>
        <w:t xml:space="preserve"> </w:t>
      </w:r>
      <w:hyperlink r:id="rId97">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98"/>
    <w:bookmarkStart w:id="100" w:name="ref-Edwards.Jackson1994"/>
    <w:p>
      <w:pPr>
        <w:pStyle w:val="Bibliographie"/>
      </w:pPr>
      <w:r>
        <w:t xml:space="preserve">Edwards, G. B., and R. R. Jackson. 1994.</w:t>
      </w:r>
      <w:r>
        <w:t xml:space="preserve"> </w:t>
      </w:r>
      <w:hyperlink r:id="rId99">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100"/>
    <w:bookmarkStart w:id="102" w:name="ref-Ehlinger1989"/>
    <w:p>
      <w:pPr>
        <w:pStyle w:val="Bibliographie"/>
      </w:pPr>
      <w:r>
        <w:t xml:space="preserve">Ehlinger, T. J. 1989.</w:t>
      </w:r>
      <w:r>
        <w:t xml:space="preserve"> </w:t>
      </w:r>
      <w:hyperlink r:id="rId101">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102"/>
    <w:bookmarkStart w:id="103"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103"/>
    <w:bookmarkStart w:id="105" w:name="ref-Estes.etal2003"/>
    <w:p>
      <w:pPr>
        <w:pStyle w:val="Bibliographie"/>
      </w:pPr>
      <w:r>
        <w:t xml:space="preserve">Estes, J. A., M. L. Riedman, M. M. Staedler, M. T. Tinker, and B. E. Lyon. 2003.</w:t>
      </w:r>
      <w:r>
        <w:t xml:space="preserve"> </w:t>
      </w:r>
      <w:hyperlink r:id="rId104">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105"/>
    <w:bookmarkStart w:id="107" w:name="ref-FraserFranco.etal2022"/>
    <w:p>
      <w:pPr>
        <w:pStyle w:val="Bibliographie"/>
      </w:pPr>
      <w:r>
        <w:t xml:space="preserve">Fraser Franco, M., F. Santostefano, C. D. Kelly, and P.-O. Montiglio. 2022.</w:t>
      </w:r>
      <w:r>
        <w:t xml:space="preserve"> </w:t>
      </w:r>
      <w:hyperlink r:id="rId106">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107"/>
    <w:bookmarkStart w:id="108"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108"/>
    <w:bookmarkStart w:id="110" w:name="ref-Graw.Manser2007"/>
    <w:p>
      <w:pPr>
        <w:pStyle w:val="Bibliographie"/>
      </w:pPr>
      <w:r>
        <w:t xml:space="preserve">Graw, B., and M. B. Manser. 2007.</w:t>
      </w:r>
      <w:r>
        <w:t xml:space="preserve"> </w:t>
      </w:r>
      <w:hyperlink r:id="rId109">
        <w:r>
          <w:rPr>
            <w:rStyle w:val="Lienhypertexte"/>
          </w:rPr>
          <w:t xml:space="preserve">The</w:t>
        </w:r>
        <w:r>
          <w:rPr>
            <w:rStyle w:val="Lienhypertexte"/>
          </w:rPr>
          <w:t xml:space="preserve"> </w:t>
        </w:r>
        <w:r>
          <w:rPr>
            <w:rStyle w:val="Lienhypertexte"/>
          </w:rPr>
          <w:t xml:space="preserve">Function</w:t>
        </w:r>
        <w:r>
          <w:rPr>
            <w:rStyle w:val="Lienhypertexte"/>
          </w:rPr>
          <w:t xml:space="preserve"> </w:t>
        </w:r>
        <w:r>
          <w:rPr>
            <w:rStyle w:val="Lienhypertexte"/>
          </w:rPr>
          <w:t xml:space="preserve">of</w:t>
        </w:r>
        <w:r>
          <w:rPr>
            <w:rStyle w:val="Lienhypertexte"/>
          </w:rPr>
          <w:t xml:space="preserve"> </w:t>
        </w:r>
        <w:r>
          <w:rPr>
            <w:rStyle w:val="Lienhypertexte"/>
          </w:rPr>
          <w:t xml:space="preserve">Mobbing</w:t>
        </w:r>
        <w:r>
          <w:rPr>
            <w:rStyle w:val="Lienhypertexte"/>
          </w:rPr>
          <w:t xml:space="preserve"> </w:t>
        </w:r>
        <w:r>
          <w:rPr>
            <w:rStyle w:val="Lienhypertexte"/>
          </w:rPr>
          <w:t xml:space="preserve">in</w:t>
        </w:r>
        <w:r>
          <w:rPr>
            <w:rStyle w:val="Lienhypertexte"/>
          </w:rPr>
          <w:t xml:space="preserve"> </w:t>
        </w:r>
        <w:r>
          <w:rPr>
            <w:rStyle w:val="Lienhypertexte"/>
          </w:rPr>
          <w:t xml:space="preserve">Cooperative Meerkats</w:t>
        </w:r>
      </w:hyperlink>
      <w:r>
        <w:t xml:space="preserve">. Animal Behaviour 74:507–517.</w:t>
      </w:r>
    </w:p>
    <w:bookmarkEnd w:id="110"/>
    <w:bookmarkStart w:id="112" w:name="ref-Griffen.etal2012"/>
    <w:p>
      <w:pPr>
        <w:pStyle w:val="Bibliographie"/>
      </w:pPr>
      <w:r>
        <w:t xml:space="preserve">Griffen, B. D., B. J. Toscano, and J. Gatto. 2012.</w:t>
      </w:r>
      <w:r>
        <w:t xml:space="preserve"> </w:t>
      </w:r>
      <w:hyperlink r:id="rId111">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12"/>
    <w:bookmarkStart w:id="114" w:name="ref-Heithaus.etal2018"/>
    <w:p>
      <w:pPr>
        <w:pStyle w:val="Bibliographie"/>
      </w:pPr>
      <w:r>
        <w:t xml:space="preserve">Heithaus, M. R., L. M. Dill, and J. J. Kiszka. 2018.</w:t>
      </w:r>
      <w:r>
        <w:t xml:space="preserve"> </w:t>
      </w:r>
      <w:hyperlink r:id="rId113">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14"/>
    <w:bookmarkStart w:id="116" w:name="ref-Herbert-Read.etal2017"/>
    <w:p>
      <w:pPr>
        <w:pStyle w:val="Bibliographie"/>
      </w:pPr>
      <w:r>
        <w:t xml:space="preserve">Herbert-Read, J. E., A. J. W. Ward, D. J. T. Sumpter, and R. P. Mann. 2017.</w:t>
      </w:r>
      <w:r>
        <w:t xml:space="preserve"> </w:t>
      </w:r>
      <w:hyperlink r:id="rId115">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16"/>
    <w:bookmarkStart w:id="118" w:name="ref-Holm.etal2019"/>
    <w:p>
      <w:pPr>
        <w:pStyle w:val="Bibliographie"/>
      </w:pPr>
      <w:r>
        <w:t xml:space="preserve">Holm, M. W., R. Rodríguez-Torres, B. W. Hansen, and R. Almeda. 2019.</w:t>
      </w:r>
      <w:r>
        <w:t xml:space="preserve"> </w:t>
      </w:r>
      <w:hyperlink r:id="rId117">
        <w:r>
          <w:rPr>
            <w:rStyle w:val="Lienhypertexte"/>
          </w:rPr>
          <w:t xml:space="preserve">Influence of</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Foraging Strategy</w:t>
        </w:r>
        <w:r>
          <w:rPr>
            <w:rStyle w:val="Lienhypertexte"/>
          </w:rPr>
          <w:t xml:space="preserve"> </w:t>
        </w:r>
        <w:r>
          <w:rPr>
            <w:rStyle w:val="Lienhypertexte"/>
          </w:rPr>
          <w:t xml:space="preserve">on</w:t>
        </w:r>
        <w:r>
          <w:rPr>
            <w:rStyle w:val="Lienhypertexte"/>
          </w:rPr>
          <w:t xml:space="preserve"> </w:t>
        </w:r>
        <w:r>
          <w:rPr>
            <w:rStyle w:val="Lienhypertexte"/>
          </w:rPr>
          <w:t xml:space="preserve">Starvation Tolerance</w:t>
        </w:r>
        <w:r>
          <w:rPr>
            <w:rStyle w:val="Lienhypertexte"/>
          </w:rPr>
          <w:t xml:space="preserve"> </w:t>
        </w:r>
        <w:r>
          <w:rPr>
            <w:rStyle w:val="Lienhypertexte"/>
          </w:rPr>
          <w:t xml:space="preserve">of</w:t>
        </w:r>
        <w:r>
          <w:rPr>
            <w:rStyle w:val="Lienhypertexte"/>
          </w:rPr>
          <w:t xml:space="preserve"> </w:t>
        </w:r>
        <w:r>
          <w:rPr>
            <w:rStyle w:val="Lienhypertexte"/>
          </w:rPr>
          <w:t xml:space="preserve">Planktonic Copepods</w:t>
        </w:r>
      </w:hyperlink>
      <w:r>
        <w:t xml:space="preserve">. Journal of Experimental Marine Biology and Ecology 511:19–27.</w:t>
      </w:r>
    </w:p>
    <w:bookmarkEnd w:id="118"/>
    <w:bookmarkStart w:id="120" w:name="ref-Hughes.etal1992"/>
    <w:p>
      <w:pPr>
        <w:pStyle w:val="Bibliographie"/>
      </w:pPr>
      <w:r>
        <w:t xml:space="preserve">Hughes, R. N., M. J. Kaiser, P. A. Mackney, and K. Warburton. 1992.</w:t>
      </w:r>
      <w:r>
        <w:t xml:space="preserve"> </w:t>
      </w:r>
      <w:hyperlink r:id="rId119">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20"/>
    <w:bookmarkStart w:id="122" w:name="ref-Ishii.Shimada2010"/>
    <w:p>
      <w:pPr>
        <w:pStyle w:val="Bibliographie"/>
      </w:pPr>
      <w:r>
        <w:t xml:space="preserve">Ishii, Y., and M. Shimada. 2010.</w:t>
      </w:r>
      <w:r>
        <w:t xml:space="preserve"> </w:t>
      </w:r>
      <w:hyperlink r:id="rId121">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22"/>
    <w:bookmarkStart w:id="124" w:name="ref-Johnson.Wilbrecht2011"/>
    <w:p>
      <w:pPr>
        <w:pStyle w:val="Bibliographie"/>
      </w:pPr>
      <w:r>
        <w:t xml:space="preserve">Johnson, C., and L. Wilbrecht. 2011.</w:t>
      </w:r>
      <w:r>
        <w:t xml:space="preserve"> </w:t>
      </w:r>
      <w:hyperlink r:id="rId123">
        <w:r>
          <w:rPr>
            <w:rStyle w:val="Lienhypertexte"/>
          </w:rPr>
          <w:t xml:space="preserve">Juvenile</w:t>
        </w:r>
        <w:r>
          <w:rPr>
            <w:rStyle w:val="Lienhypertexte"/>
          </w:rPr>
          <w:t xml:space="preserve"> </w:t>
        </w:r>
        <w:r>
          <w:rPr>
            <w:rStyle w:val="Lienhypertexte"/>
          </w:rPr>
          <w:t xml:space="preserve">Mice Show Greater Flexibility</w:t>
        </w:r>
        <w:r>
          <w:rPr>
            <w:rStyle w:val="Lienhypertexte"/>
          </w:rPr>
          <w:t xml:space="preserve"> </w:t>
        </w:r>
        <w:r>
          <w:rPr>
            <w:rStyle w:val="Lienhypertexte"/>
          </w:rPr>
          <w:t xml:space="preserve">in</w:t>
        </w:r>
        <w:r>
          <w:rPr>
            <w:rStyle w:val="Lienhypertexte"/>
          </w:rPr>
          <w:t xml:space="preserve"> </w:t>
        </w:r>
        <w:r>
          <w:rPr>
            <w:rStyle w:val="Lienhypertexte"/>
          </w:rPr>
          <w:t xml:space="preserve">Multiple Choice Reversal Learning</w:t>
        </w:r>
        <w:r>
          <w:rPr>
            <w:rStyle w:val="Lienhypertexte"/>
          </w:rPr>
          <w:t xml:space="preserve"> </w:t>
        </w:r>
        <w:r>
          <w:rPr>
            <w:rStyle w:val="Lienhypertexte"/>
          </w:rPr>
          <w:t xml:space="preserve">than</w:t>
        </w:r>
        <w:r>
          <w:rPr>
            <w:rStyle w:val="Lienhypertexte"/>
          </w:rPr>
          <w:t xml:space="preserve"> </w:t>
        </w:r>
        <w:r>
          <w:rPr>
            <w:rStyle w:val="Lienhypertexte"/>
          </w:rPr>
          <w:t xml:space="preserve">Adults</w:t>
        </w:r>
      </w:hyperlink>
      <w:r>
        <w:t xml:space="preserve">. Developmental Cognitive Neuroscience 1:540–551.</w:t>
      </w:r>
    </w:p>
    <w:bookmarkEnd w:id="124"/>
    <w:bookmarkStart w:id="126" w:name="ref-Jones.etal2011"/>
    <w:p>
      <w:pPr>
        <w:pStyle w:val="Bibliographie"/>
      </w:pPr>
      <w:r>
        <w:t xml:space="preserve">Jones, K. A., A. L. Jackson, and G. D. Ruxton. 2011.</w:t>
      </w:r>
      <w:r>
        <w:t xml:space="preserve"> </w:t>
      </w:r>
      <w:hyperlink r:id="rId125">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26"/>
    <w:bookmarkStart w:id="128" w:name="ref-Karkarey.etal2017"/>
    <w:p>
      <w:pPr>
        <w:pStyle w:val="Bibliographie"/>
      </w:pPr>
      <w:r>
        <w:t xml:space="preserve">Karkarey, R., T. Alcoverro, S. Kumar, and R. Arthur. 2017.</w:t>
      </w:r>
      <w:r>
        <w:t xml:space="preserve"> </w:t>
      </w:r>
      <w:hyperlink r:id="rId127">
        <w:r>
          <w:rPr>
            <w:rStyle w:val="Lienhypertexte"/>
          </w:rPr>
          <w:t xml:space="preserve">Coping with</w:t>
        </w:r>
        <w:r>
          <w:rPr>
            <w:rStyle w:val="Lienhypertexte"/>
          </w:rPr>
          <w:t xml:space="preserve"> </w:t>
        </w:r>
        <w:r>
          <w:rPr>
            <w:rStyle w:val="Lienhypertexte"/>
          </w:rPr>
          <w:t xml:space="preserve">Catastrophe</w:t>
        </w:r>
        <w:r>
          <w:rPr>
            <w:rStyle w:val="Lienhypertexte"/>
          </w:rPr>
          <w:t xml:space="preserve">:</w:t>
        </w:r>
        <w:r>
          <w:rPr>
            <w:rStyle w:val="Lienhypertexte"/>
          </w:rPr>
          <w:t xml:space="preserve"> </w:t>
        </w:r>
        <w:r>
          <w:rPr>
            <w:rStyle w:val="Lienhypertexte"/>
          </w:rPr>
          <w:t xml:space="preserve">Foraging Plasticity Enables</w:t>
        </w:r>
        <w:r>
          <w:rPr>
            <w:rStyle w:val="Lienhypertexte"/>
          </w:rPr>
          <w:t xml:space="preserve"> </w:t>
        </w:r>
        <w:r>
          <w:rPr>
            <w:rStyle w:val="Lienhypertexte"/>
          </w:rPr>
          <w:t xml:space="preserve">a</w:t>
        </w:r>
        <w:r>
          <w:rPr>
            <w:rStyle w:val="Lienhypertexte"/>
          </w:rPr>
          <w:t xml:space="preserve"> </w:t>
        </w:r>
        <w:r>
          <w:rPr>
            <w:rStyle w:val="Lienhypertexte"/>
          </w:rPr>
          <w:t xml:space="preserve">Benthic Predator</w:t>
        </w:r>
        <w:r>
          <w:rPr>
            <w:rStyle w:val="Lienhypertexte"/>
          </w:rPr>
          <w:t xml:space="preserve"> </w:t>
        </w:r>
        <w:r>
          <w:rPr>
            <w:rStyle w:val="Lienhypertexte"/>
          </w:rPr>
          <w:t xml:space="preserve">to</w:t>
        </w:r>
        <w:r>
          <w:rPr>
            <w:rStyle w:val="Lienhypertexte"/>
          </w:rPr>
          <w:t xml:space="preserve"> </w:t>
        </w:r>
        <w:r>
          <w:rPr>
            <w:rStyle w:val="Lienhypertexte"/>
          </w:rPr>
          <w:t xml:space="preserve">Survive</w:t>
        </w:r>
        <w:r>
          <w:rPr>
            <w:rStyle w:val="Lienhypertexte"/>
          </w:rPr>
          <w:t xml:space="preserve"> </w:t>
        </w:r>
        <w:r>
          <w:rPr>
            <w:rStyle w:val="Lienhypertexte"/>
          </w:rPr>
          <w:t xml:space="preserve">in</w:t>
        </w:r>
        <w:r>
          <w:rPr>
            <w:rStyle w:val="Lienhypertexte"/>
          </w:rPr>
          <w:t xml:space="preserve"> </w:t>
        </w:r>
        <w:r>
          <w:rPr>
            <w:rStyle w:val="Lienhypertexte"/>
          </w:rPr>
          <w:t xml:space="preserve">Rapidly Degrading Coral Reefs</w:t>
        </w:r>
      </w:hyperlink>
      <w:r>
        <w:t xml:space="preserve">. Animal Behaviour 131:13–22.</w:t>
      </w:r>
    </w:p>
    <w:bookmarkEnd w:id="128"/>
    <w:bookmarkStart w:id="130" w:name="ref-Kelley.Magurran2011"/>
    <w:p>
      <w:pPr>
        <w:pStyle w:val="Bibliographie"/>
      </w:pPr>
      <w:r>
        <w:t xml:space="preserve">Kelley, J. L., and A. E. Magurran. 2011.</w:t>
      </w:r>
      <w:r>
        <w:t xml:space="preserve"> </w:t>
      </w:r>
      <w:hyperlink r:id="rId129">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30"/>
    <w:bookmarkStart w:id="132" w:name="ref-Kernaleguen.etal2015"/>
    <w:p>
      <w:pPr>
        <w:pStyle w:val="Bibliographie"/>
      </w:pPr>
      <w:r>
        <w:t xml:space="preserve">Kernaléguen, L., J. P. Y. Arnould, C. Guinet, and Y. Cherel. 2015.</w:t>
      </w:r>
      <w:r>
        <w:t xml:space="preserve"> </w:t>
      </w:r>
      <w:hyperlink r:id="rId131">
        <w:r>
          <w:rPr>
            <w:rStyle w:val="Lienhypertexte"/>
          </w:rPr>
          <w:t xml:space="preserve">Determinants of</w:t>
        </w:r>
        <w:r>
          <w:rPr>
            <w:rStyle w:val="Lienhypertexte"/>
          </w:rPr>
          <w:t xml:space="preserve"> </w:t>
        </w:r>
        <w:r>
          <w:rPr>
            <w:rStyle w:val="Lienhypertexte"/>
          </w:rPr>
          <w:t xml:space="preserve">Individual Foraging Specialization</w:t>
        </w:r>
        <w:r>
          <w:rPr>
            <w:rStyle w:val="Lienhypertexte"/>
          </w:rPr>
          <w:t xml:space="preserve"> </w:t>
        </w:r>
        <w:r>
          <w:rPr>
            <w:rStyle w:val="Lienhypertexte"/>
          </w:rPr>
          <w:t xml:space="preserve">in</w:t>
        </w:r>
        <w:r>
          <w:rPr>
            <w:rStyle w:val="Lienhypertexte"/>
          </w:rPr>
          <w:t xml:space="preserve"> </w:t>
        </w:r>
        <w:r>
          <w:rPr>
            <w:rStyle w:val="Lienhypertexte"/>
          </w:rPr>
          <w:t xml:space="preserve">Large Marine Vertebrates</w:t>
        </w:r>
        <w:r>
          <w:rPr>
            <w:rStyle w:val="Lienhypertexte"/>
          </w:rPr>
          <w:t xml:space="preserve">, the</w:t>
        </w:r>
        <w:r>
          <w:rPr>
            <w:rStyle w:val="Lienhypertexte"/>
          </w:rPr>
          <w:t xml:space="preserve"> </w:t>
        </w:r>
        <w:r>
          <w:rPr>
            <w:rStyle w:val="Lienhypertexte"/>
          </w:rPr>
          <w:t xml:space="preserve">Antarctic</w:t>
        </w:r>
        <w:r>
          <w:rPr>
            <w:rStyle w:val="Lienhypertexte"/>
          </w:rPr>
          <w:t xml:space="preserve"> </w:t>
        </w:r>
        <w:r>
          <w:rPr>
            <w:rStyle w:val="Lienhypertexte"/>
          </w:rPr>
          <w:t xml:space="preserve">and</w:t>
        </w:r>
        <w:r>
          <w:rPr>
            <w:rStyle w:val="Lienhypertexte"/>
          </w:rPr>
          <w:t xml:space="preserve"> </w:t>
        </w:r>
        <w:r>
          <w:rPr>
            <w:rStyle w:val="Lienhypertexte"/>
          </w:rPr>
          <w:t xml:space="preserve">Subantarctic Fur Seals</w:t>
        </w:r>
      </w:hyperlink>
      <w:r>
        <w:t xml:space="preserve">. Journal of Animal Ecology 84:1081–1091.</w:t>
      </w:r>
    </w:p>
    <w:bookmarkEnd w:id="132"/>
    <w:bookmarkStart w:id="134" w:name="ref-Kishida.etal2006"/>
    <w:p>
      <w:pPr>
        <w:pStyle w:val="Bibliographie"/>
      </w:pPr>
      <w:r>
        <w:t xml:space="preserve">Kishida, O., Y. Mizuta, and K. Nishimura. 2006.</w:t>
      </w:r>
      <w:r>
        <w:t xml:space="preserve"> </w:t>
      </w:r>
      <w:hyperlink r:id="rId133">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34"/>
    <w:bookmarkStart w:id="136" w:name="ref-Kishida.etal2009"/>
    <w:p>
      <w:pPr>
        <w:pStyle w:val="Bibliographie"/>
      </w:pPr>
      <w:r>
        <w:t xml:space="preserve">Kishida, O., G. C. Trussell, and K. Nishimura. 2009.</w:t>
      </w:r>
      <w:r>
        <w:t xml:space="preserve"> </w:t>
      </w:r>
      <w:hyperlink r:id="rId135">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36"/>
    <w:bookmarkStart w:id="138" w:name="ref-Kobler.etal2009"/>
    <w:p>
      <w:pPr>
        <w:pStyle w:val="Bibliographie"/>
      </w:pPr>
      <w:r>
        <w:t xml:space="preserve">Kobler, A., T. Klefoth, T. Mehner, and R. Arlinghaus. 2009.</w:t>
      </w:r>
      <w:r>
        <w:t xml:space="preserve"> </w:t>
      </w:r>
      <w:hyperlink r:id="rId137">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38"/>
    <w:bookmarkStart w:id="140" w:name="ref-Lee.Nelder2006"/>
    <w:p>
      <w:pPr>
        <w:pStyle w:val="Bibliographie"/>
      </w:pPr>
      <w:r>
        <w:t xml:space="preserve">Lee, Y., and J. A. Nelder. 2006.</w:t>
      </w:r>
      <w:r>
        <w:t xml:space="preserve"> </w:t>
      </w:r>
      <w:hyperlink r:id="rId139">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40"/>
    <w:bookmarkStart w:id="142" w:name="ref-MacDonald2007"/>
    <w:p>
      <w:pPr>
        <w:pStyle w:val="Bibliographie"/>
      </w:pPr>
      <w:r>
        <w:t xml:space="preserve">MacDonald, K. 2007.</w:t>
      </w:r>
      <w:r>
        <w:t xml:space="preserve"> </w:t>
      </w:r>
      <w:hyperlink r:id="rId141">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42"/>
    <w:bookmarkStart w:id="144" w:name="ref-Manlick.etal2021"/>
    <w:p>
      <w:pPr>
        <w:pStyle w:val="Bibliographie"/>
      </w:pPr>
      <w:r>
        <w:t xml:space="preserve">Manlick, P. J., K. Maldonado, and S. D. Newsome. 2021.</w:t>
      </w:r>
      <w:r>
        <w:t xml:space="preserve"> </w:t>
      </w:r>
      <w:hyperlink r:id="rId143">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44"/>
    <w:bookmarkStart w:id="146" w:name="ref-Martin.etal2022"/>
    <w:p>
      <w:pPr>
        <w:pStyle w:val="Bibliographie"/>
      </w:pPr>
      <w:r>
        <w:t xml:space="preserve">Martin, B. T., M. A. Gil, A. K. Fahimipour, and A. M. Hein. 2022.</w:t>
      </w:r>
      <w:r>
        <w:t xml:space="preserve"> </w:t>
      </w:r>
      <w:hyperlink r:id="rId145">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46"/>
    <w:bookmarkStart w:id="148" w:name="ref-Matsumura.Miyatake2022a"/>
    <w:p>
      <w:pPr>
        <w:pStyle w:val="Bibliographie"/>
      </w:pPr>
      <w:r>
        <w:t xml:space="preserve">Matsumura, K., and T. Miyatake. 2022.</w:t>
      </w:r>
      <w:r>
        <w:t xml:space="preserve"> </w:t>
      </w:r>
      <w:hyperlink r:id="rId147">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48"/>
    <w:bookmarkStart w:id="150" w:name="ref-McGhee.etal2013a"/>
    <w:p>
      <w:pPr>
        <w:pStyle w:val="Bibliographie"/>
      </w:pPr>
      <w:r>
        <w:t xml:space="preserve">McGhee, K. E., L. M. Pintor, and A. M. Bell. 2013.</w:t>
      </w:r>
      <w:r>
        <w:t xml:space="preserve"> </w:t>
      </w:r>
      <w:hyperlink r:id="rId149">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50"/>
    <w:bookmarkStart w:id="152" w:name="ref-McLellan.etal2021"/>
    <w:p>
      <w:pPr>
        <w:pStyle w:val="Bibliographie"/>
      </w:pPr>
      <w:r>
        <w:t xml:space="preserve">McLellan, C. F., N. E. Scott-Samuel, and I. C. Cuthill. 2021.</w:t>
      </w:r>
      <w:r>
        <w:t xml:space="preserve"> </w:t>
      </w:r>
      <w:hyperlink r:id="rId151">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52"/>
    <w:bookmarkStart w:id="154" w:name="ref-Mery.Burns2010"/>
    <w:p>
      <w:pPr>
        <w:pStyle w:val="Bibliographie"/>
      </w:pPr>
      <w:r>
        <w:t xml:space="preserve">Mery, F., and J. G. Burns. 2010.</w:t>
      </w:r>
      <w:r>
        <w:t xml:space="preserve"> </w:t>
      </w:r>
      <w:hyperlink r:id="rId153">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54"/>
    <w:bookmarkStart w:id="156" w:name="ref-Michalko.etal2021"/>
    <w:p>
      <w:pPr>
        <w:pStyle w:val="Bibliographie"/>
      </w:pPr>
      <w:r>
        <w:t xml:space="preserve">Michalko, R., A. T. Gibbons, S. L. Goodacre, and S. Pekár. 2021.</w:t>
      </w:r>
      <w:r>
        <w:t xml:space="preserve"> </w:t>
      </w:r>
      <w:hyperlink r:id="rId155">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56"/>
    <w:bookmarkStart w:id="158" w:name="ref-Michalko.Pekar2016"/>
    <w:p>
      <w:pPr>
        <w:pStyle w:val="Bibliographie"/>
      </w:pPr>
      <w:r>
        <w:t xml:space="preserve">Michalko, R., and S. Pekár. 2016.</w:t>
      </w:r>
      <w:r>
        <w:t xml:space="preserve"> </w:t>
      </w:r>
      <w:hyperlink r:id="rId157">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58"/>
    <w:bookmarkStart w:id="160" w:name="ref-Mitchell.etal2016a"/>
    <w:p>
      <w:pPr>
        <w:pStyle w:val="Bibliographie"/>
      </w:pPr>
      <w:r>
        <w:t xml:space="preserve">Mitchell, D. J., B. G. Fanson, C. Beckmann, and P. A. Biro. 2016.</w:t>
      </w:r>
      <w:r>
        <w:t xml:space="preserve"> </w:t>
      </w:r>
      <w:hyperlink r:id="rId159">
        <w:r>
          <w:rPr>
            <w:rStyle w:val="Lienhypertexte"/>
          </w:rPr>
          <w:t xml:space="preserve">Towards powerful experimental and statistical approaches to study intraindividual variability in labile traits</w:t>
        </w:r>
      </w:hyperlink>
      <w:r>
        <w:t xml:space="preserve">. Royal Society Open Science 3:160352.</w:t>
      </w:r>
    </w:p>
    <w:bookmarkEnd w:id="160"/>
    <w:bookmarkStart w:id="162" w:name="ref-Moore.etal2017"/>
    <w:p>
      <w:pPr>
        <w:pStyle w:val="Bibliographie"/>
      </w:pPr>
      <w:r>
        <w:t xml:space="preserve">Moore, T. Y., K. L. Cooper, A. A. Biewener, and R. Vasudevan. 2017.</w:t>
      </w:r>
      <w:r>
        <w:t xml:space="preserve"> </w:t>
      </w:r>
      <w:hyperlink r:id="rId161">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62"/>
    <w:bookmarkStart w:id="164" w:name="ref-Moran.etal2017"/>
    <w:p>
      <w:pPr>
        <w:pStyle w:val="Bibliographie"/>
      </w:pPr>
      <w:r>
        <w:t xml:space="preserve">Moran, N. P., B. B. M. Wong, and R. M. Thompson. 2017.</w:t>
      </w:r>
      <w:r>
        <w:t xml:space="preserve"> </w:t>
      </w:r>
      <w:hyperlink r:id="rId163">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64"/>
    <w:bookmarkStart w:id="166" w:name="ref-Morse2000"/>
    <w:p>
      <w:pPr>
        <w:pStyle w:val="Bibliographie"/>
      </w:pPr>
      <w:r>
        <w:t xml:space="preserve">Morse, D. H. 2000.</w:t>
      </w:r>
      <w:r>
        <w:t xml:space="preserve"> </w:t>
      </w:r>
      <w:hyperlink r:id="rId165">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66"/>
    <w:bookmarkStart w:id="168" w:name="ref-Mougi.etal2011"/>
    <w:p>
      <w:pPr>
        <w:pStyle w:val="Bibliographie"/>
      </w:pPr>
      <w:r>
        <w:t xml:space="preserve">Mougi, A., O. Kishida, and Y. Iwasa. 2011.</w:t>
      </w:r>
      <w:r>
        <w:t xml:space="preserve"> </w:t>
      </w:r>
      <w:hyperlink r:id="rId167">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68"/>
    <w:bookmarkStart w:id="170" w:name="ref-Nomura.etal2011"/>
    <w:p>
      <w:pPr>
        <w:pStyle w:val="Bibliographie"/>
      </w:pPr>
      <w:r>
        <w:t xml:space="preserve">Nomura, F., V. H. M. do Prado, F. R. da Silva, R. E. Borges, N. Y. N. Dias, and D. de C. Rossa-Feres. 2011.</w:t>
      </w:r>
      <w:r>
        <w:t xml:space="preserve"> </w:t>
      </w:r>
      <w:hyperlink r:id="rId169">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70"/>
    <w:bookmarkStart w:id="172" w:name="ref-ODea.etal2022"/>
    <w:p>
      <w:pPr>
        <w:pStyle w:val="Bibliographie"/>
      </w:pPr>
      <w:r>
        <w:t xml:space="preserve">O’Dea, R. E., D. W. A. Noble, and S. Nakagawa. 2022.</w:t>
      </w:r>
      <w:r>
        <w:t xml:space="preserve"> </w:t>
      </w:r>
      <w:hyperlink r:id="rId171">
        <w:r>
          <w:rPr>
            <w:rStyle w:val="Lienhypertexte"/>
          </w:rPr>
          <w:t xml:space="preserve">Unifying</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w:t>
        </w:r>
        <w:r>
          <w:rPr>
            <w:rStyle w:val="Lienhypertexte"/>
          </w:rPr>
          <w:t xml:space="preserve"> </w:t>
        </w:r>
        <w:r>
          <w:rPr>
            <w:rStyle w:val="Lienhypertexte"/>
          </w:rPr>
          <w:t xml:space="preserve">Personality</w:t>
        </w:r>
        <w:r>
          <w:rPr>
            <w:rStyle w:val="Lienhypertexte"/>
          </w:rPr>
          <w:t xml:space="preserve">,</w:t>
        </w:r>
        <w:r>
          <w:rPr>
            <w:rStyle w:val="Lienhypertexte"/>
          </w:rPr>
          <w:t xml:space="preserve"> </w:t>
        </w:r>
        <w:r>
          <w:rPr>
            <w:rStyle w:val="Lienhypertexte"/>
          </w:rPr>
          <w:t xml:space="preserve">Predictability</w:t>
        </w:r>
        <w:r>
          <w:rPr>
            <w:rStyle w:val="Lienhypertexte"/>
          </w:rPr>
          <w:t xml:space="preserve"> </w:t>
        </w:r>
        <w:r>
          <w:rPr>
            <w:rStyle w:val="Lienhypertexte"/>
          </w:rPr>
          <w:t xml:space="preserve">and</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 Practical Guide</w:t>
        </w:r>
      </w:hyperlink>
      <w:r>
        <w:t xml:space="preserve">. Methods in Ecology and Evolution 13:278–293.</w:t>
      </w:r>
    </w:p>
    <w:bookmarkEnd w:id="172"/>
    <w:bookmarkStart w:id="174" w:name="ref-Paenke.etal2007"/>
    <w:p>
      <w:pPr>
        <w:pStyle w:val="Bibliographie"/>
      </w:pPr>
      <w:r>
        <w:t xml:space="preserve">Paenke, I., B. Sendhoff, and T. J. Kawecki. 2007.</w:t>
      </w:r>
      <w:r>
        <w:t xml:space="preserve"> </w:t>
      </w:r>
      <w:hyperlink r:id="rId173">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74"/>
    <w:bookmarkStart w:id="176" w:name="ref-Patrick.Weimerskirch2014"/>
    <w:p>
      <w:pPr>
        <w:pStyle w:val="Bibliographie"/>
      </w:pPr>
      <w:r>
        <w:t xml:space="preserve">Patrick, S. C., and H. Weimerskirch. 2014a.</w:t>
      </w:r>
      <w:r>
        <w:t xml:space="preserve"> </w:t>
      </w:r>
      <w:hyperlink r:id="rId175">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76"/>
    <w:bookmarkStart w:id="178" w:name="ref-Patrick.Weimerskirch2014a"/>
    <w:p>
      <w:pPr>
        <w:pStyle w:val="Bibliographie"/>
      </w:pPr>
      <w:r>
        <w:t xml:space="preserve">Patrick, S. C., and H. Weimerskirch. 2014b.</w:t>
      </w:r>
      <w:r>
        <w:t xml:space="preserve"> </w:t>
      </w:r>
      <w:hyperlink r:id="rId177">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78"/>
    <w:bookmarkStart w:id="180" w:name="ref-Paull.etal2012"/>
    <w:p>
      <w:pPr>
        <w:pStyle w:val="Bibliographie"/>
      </w:pPr>
      <w:r>
        <w:t xml:space="preserve">Paull, J. S., R. A. Martin, and D. W. Pfennig. 2012.</w:t>
      </w:r>
      <w:r>
        <w:t xml:space="preserve"> </w:t>
      </w:r>
      <w:hyperlink r:id="rId179">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80"/>
    <w:bookmarkStart w:id="182" w:name="ref-Pedersen.etal2019"/>
    <w:p>
      <w:pPr>
        <w:pStyle w:val="Bibliographie"/>
      </w:pPr>
      <w:r>
        <w:t xml:space="preserve">Pedersen, E. J., D. L. Miller, G. L. Simpson, and N. Ross. 2019.</w:t>
      </w:r>
      <w:r>
        <w:t xml:space="preserve"> </w:t>
      </w:r>
      <w:hyperlink r:id="rId181">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82"/>
    <w:bookmarkStart w:id="184" w:name="ref-Phillips.etal2017"/>
    <w:p>
      <w:pPr>
        <w:pStyle w:val="Bibliographie"/>
      </w:pPr>
      <w:r>
        <w:t xml:space="preserve">Phillips, R. A., S. Lewis, J. González-Solís, and F. Daunt. 2017.</w:t>
      </w:r>
      <w:r>
        <w:t xml:space="preserve"> </w:t>
      </w:r>
      <w:hyperlink r:id="rId183">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84"/>
    <w:bookmarkStart w:id="186" w:name="ref-Piironen.Vehtari2017"/>
    <w:p>
      <w:pPr>
        <w:pStyle w:val="Bibliographie"/>
      </w:pPr>
      <w:r>
        <w:t xml:space="preserve">Piironen, J., and A. Vehtari. 2017.</w:t>
      </w:r>
      <w:r>
        <w:t xml:space="preserve"> </w:t>
      </w:r>
      <w:hyperlink r:id="rId185">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86"/>
    <w:bookmarkStart w:id="188" w:name="ref-Pintor.etal2014"/>
    <w:p>
      <w:pPr>
        <w:pStyle w:val="Bibliographie"/>
      </w:pPr>
      <w:r>
        <w:t xml:space="preserve">Pintor, L. M., K. E. McGhee, D. P. Roche, and A. M. Bell. 2014.</w:t>
      </w:r>
      <w:r>
        <w:t xml:space="preserve"> </w:t>
      </w:r>
      <w:hyperlink r:id="rId187">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88"/>
    <w:bookmarkStart w:id="190" w:name="ref-Pitman.etal2017"/>
    <w:p>
      <w:pPr>
        <w:pStyle w:val="Bibliographie"/>
      </w:pPr>
      <w:r>
        <w:t xml:space="preserve">Pitman, R. L., V. B. Deecke, C. M. Gabriele, M. Srinivasan, N. Black, J. Denkinger, J. W. Durban, E. A. Mathews, D. R. Matkin, J. L. Neilson, A. Schulman-Janiger, D. Shearwater, P. Stap, and R. Ternullo. 2017.</w:t>
      </w:r>
      <w:r>
        <w:t xml:space="preserve"> </w:t>
      </w:r>
      <w:hyperlink r:id="rId189">
        <w:r>
          <w:rPr>
            <w:rStyle w:val="Lienhypertexte"/>
          </w:rPr>
          <w:t xml:space="preserve">Humpback</w:t>
        </w:r>
        <w:r>
          <w:rPr>
            <w:rStyle w:val="Lienhypertexte"/>
          </w:rPr>
          <w:t xml:space="preserve"> </w:t>
        </w:r>
        <w:r>
          <w:rPr>
            <w:rStyle w:val="Lienhypertexte"/>
          </w:rPr>
          <w:t xml:space="preserve">Whales Interfering When Mammal-Eating Killer Whales Attack Other Species</w:t>
        </w:r>
        <w:r>
          <w:rPr>
            <w:rStyle w:val="Lienhypertexte"/>
          </w:rPr>
          <w:t xml:space="preserve">:</w:t>
        </w:r>
        <w:r>
          <w:rPr>
            <w:rStyle w:val="Lienhypertexte"/>
          </w:rPr>
          <w:t xml:space="preserve"> </w:t>
        </w:r>
        <w:r>
          <w:rPr>
            <w:rStyle w:val="Lienhypertexte"/>
          </w:rPr>
          <w:t xml:space="preserve">Mobbing Behavior</w:t>
        </w:r>
        <w:r>
          <w:rPr>
            <w:rStyle w:val="Lienhypertexte"/>
          </w:rPr>
          <w:t xml:space="preserve"> </w:t>
        </w:r>
        <w:r>
          <w:rPr>
            <w:rStyle w:val="Lienhypertexte"/>
          </w:rPr>
          <w:t xml:space="preserve">and</w:t>
        </w:r>
        <w:r>
          <w:rPr>
            <w:rStyle w:val="Lienhypertexte"/>
          </w:rPr>
          <w:t xml:space="preserve"> </w:t>
        </w:r>
        <w:r>
          <w:rPr>
            <w:rStyle w:val="Lienhypertexte"/>
          </w:rPr>
          <w:t xml:space="preserve">Interspecific</w:t>
        </w:r>
        <w:r>
          <w:rPr>
            <w:rStyle w:val="Lienhypertexte"/>
          </w:rPr>
          <w:t xml:space="preserve"> </w:t>
        </w:r>
        <w:r>
          <w:rPr>
            <w:rStyle w:val="Lienhypertexte"/>
          </w:rPr>
          <w:t xml:space="preserve">altruism?</w:t>
        </w:r>
      </w:hyperlink>
      <w:r>
        <w:t xml:space="preserve"> Marine Mammal Science 33:7–58.</w:t>
      </w:r>
    </w:p>
    <w:bookmarkEnd w:id="190"/>
    <w:bookmarkStart w:id="192" w:name="ref-Potier.etal2015"/>
    <w:p>
      <w:pPr>
        <w:pStyle w:val="Bibliographie"/>
      </w:pPr>
      <w:r>
        <w:t xml:space="preserve">Potier, S., A. Carpentier, D. Grémillet, B. Leroy, and A. Lescroël. 2015.</w:t>
      </w:r>
      <w:r>
        <w:t xml:space="preserve"> </w:t>
      </w:r>
      <w:hyperlink r:id="rId191">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92"/>
    <w:bookmarkStart w:id="194"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93">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94"/>
    <w:bookmarkStart w:id="196" w:name="ref-Reid.etal2010"/>
    <w:p>
      <w:pPr>
        <w:pStyle w:val="Bibliographie"/>
      </w:pPr>
      <w:r>
        <w:t xml:space="preserve">Reid, A., F. Seebacher, and A. Ward. 2010.</w:t>
      </w:r>
      <w:r>
        <w:t xml:space="preserve"> </w:t>
      </w:r>
      <w:hyperlink r:id="rId195">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96"/>
    <w:bookmarkStart w:id="198" w:name="ref-Richardson.etal2018"/>
    <w:p>
      <w:pPr>
        <w:pStyle w:val="Bibliographie"/>
      </w:pPr>
      <w:r>
        <w:t xml:space="preserve">Richardson, G., P. Dickinson, O. H. P. Burman, and T. W. Pike. 2018.</w:t>
      </w:r>
      <w:r>
        <w:t xml:space="preserve"> </w:t>
      </w:r>
      <w:hyperlink r:id="rId197">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98"/>
    <w:bookmarkStart w:id="200" w:name="ref-Sandbrook.etal2015"/>
    <w:p>
      <w:pPr>
        <w:pStyle w:val="Bibliographie"/>
      </w:pPr>
      <w:r>
        <w:t xml:space="preserve">Sandbrook, C., W. M. Adams, and B. Monteferri. 2015.</w:t>
      </w:r>
      <w:r>
        <w:t xml:space="preserve"> </w:t>
      </w:r>
      <w:hyperlink r:id="rId199">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200"/>
    <w:bookmarkStart w:id="202" w:name="ref-Santoro.etal2019"/>
    <w:p>
      <w:pPr>
        <w:pStyle w:val="Bibliographie"/>
      </w:pPr>
      <w:r>
        <w:t xml:space="preserve">Santoro, D., S. Hartley, and P. J. Lester. 2019.</w:t>
      </w:r>
      <w:r>
        <w:t xml:space="preserve"> </w:t>
      </w:r>
      <w:hyperlink r:id="rId201">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202"/>
    <w:bookmarkStart w:id="204" w:name="ref-Skelhorn.etal2016"/>
    <w:p>
      <w:pPr>
        <w:pStyle w:val="Bibliographie"/>
      </w:pPr>
      <w:r>
        <w:t xml:space="preserve">Skelhorn, J., C. G. Halpin, and C. Rowe. 2016.</w:t>
      </w:r>
      <w:r>
        <w:t xml:space="preserve"> </w:t>
      </w:r>
      <w:hyperlink r:id="rId203">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204"/>
    <w:bookmarkStart w:id="206" w:name="ref-Snell-Rood2013"/>
    <w:p>
      <w:pPr>
        <w:pStyle w:val="Bibliographie"/>
      </w:pPr>
      <w:r>
        <w:t xml:space="preserve">Snell-Rood, E. C. 2013.</w:t>
      </w:r>
      <w:r>
        <w:t xml:space="preserve"> </w:t>
      </w:r>
      <w:hyperlink r:id="rId205">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206"/>
    <w:bookmarkStart w:id="208" w:name="ref-Stephens1993"/>
    <w:p>
      <w:pPr>
        <w:pStyle w:val="Bibliographie"/>
      </w:pPr>
      <w:r>
        <w:t xml:space="preserve">Stephens, D. W. 1993.</w:t>
      </w:r>
      <w:r>
        <w:t xml:space="preserve"> </w:t>
      </w:r>
      <w:hyperlink r:id="rId207">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208"/>
    <w:bookmarkStart w:id="210" w:name="ref-Szopa-Comley.etal2020"/>
    <w:p>
      <w:pPr>
        <w:pStyle w:val="Bibliographie"/>
      </w:pPr>
      <w:r>
        <w:t xml:space="preserve">Szopa-Comley, A. W., W. G. Donald, and C. C. Ioannou. 2020.</w:t>
      </w:r>
      <w:r>
        <w:t xml:space="preserve"> </w:t>
      </w:r>
      <w:hyperlink r:id="rId209">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210"/>
    <w:bookmarkStart w:id="212" w:name="ref-Szopa-Comley.Ioannou2022"/>
    <w:p>
      <w:pPr>
        <w:pStyle w:val="Bibliographie"/>
      </w:pPr>
      <w:r>
        <w:t xml:space="preserve">Szopa-Comley, A. W., and C. C. Ioannou. 2022.</w:t>
      </w:r>
      <w:r>
        <w:t xml:space="preserve"> </w:t>
      </w:r>
      <w:hyperlink r:id="rId211">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212"/>
    <w:bookmarkStart w:id="214" w:name="ref-Szymkowiak2021"/>
    <w:p>
      <w:pPr>
        <w:pStyle w:val="Bibliographie"/>
      </w:pPr>
      <w:r>
        <w:t xml:space="preserve">Szymkowiak, J. 2021.</w:t>
      </w:r>
      <w:r>
        <w:t xml:space="preserve"> </w:t>
      </w:r>
      <w:hyperlink r:id="rId213">
        <w:r>
          <w:rPr>
            <w:rStyle w:val="Lienhypertexte"/>
          </w:rPr>
          <w:t xml:space="preserve">Wood</w:t>
        </w:r>
        <w:r>
          <w:rPr>
            <w:rStyle w:val="Lienhypertexte"/>
          </w:rPr>
          <w:t xml:space="preserve"> </w:t>
        </w:r>
        <w:r>
          <w:rPr>
            <w:rStyle w:val="Lienhypertexte"/>
          </w:rPr>
          <w:t xml:space="preserve">Warblers Learn</w:t>
        </w:r>
        <w:r>
          <w:rPr>
            <w:rStyle w:val="Lienhypertexte"/>
          </w:rPr>
          <w:t xml:space="preserve"> </w:t>
        </w:r>
        <w:r>
          <w:rPr>
            <w:rStyle w:val="Lienhypertexte"/>
          </w:rPr>
          <w:t xml:space="preserve">to</w:t>
        </w:r>
        <w:r>
          <w:rPr>
            <w:rStyle w:val="Lienhypertexte"/>
          </w:rPr>
          <w:t xml:space="preserve"> </w:t>
        </w:r>
        <w:r>
          <w:rPr>
            <w:rStyle w:val="Lienhypertexte"/>
          </w:rPr>
          <w:t xml:space="preserve">Recognize Mobbing Calls</w:t>
        </w:r>
        <w:r>
          <w:rPr>
            <w:rStyle w:val="Lienhypertexte"/>
          </w:rPr>
          <w:t xml:space="preserve"> </w:t>
        </w:r>
        <w:r>
          <w:rPr>
            <w:rStyle w:val="Lienhypertexte"/>
          </w:rPr>
          <w:t xml:space="preserve">of an</w:t>
        </w:r>
        <w:r>
          <w:rPr>
            <w:rStyle w:val="Lienhypertexte"/>
          </w:rPr>
          <w:t xml:space="preserve"> </w:t>
        </w:r>
        <w:r>
          <w:rPr>
            <w:rStyle w:val="Lienhypertexte"/>
          </w:rPr>
          <w:t xml:space="preserve">Unfamiliar Species From Heterospecific Tutors</w:t>
        </w:r>
      </w:hyperlink>
      <w:r>
        <w:t xml:space="preserve">. Animal Behaviour 171:1–11.</w:t>
      </w:r>
    </w:p>
    <w:bookmarkEnd w:id="214"/>
    <w:bookmarkStart w:id="215"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215"/>
    <w:bookmarkStart w:id="217" w:name="ref-Thiers.etal2014"/>
    <w:p>
      <w:pPr>
        <w:pStyle w:val="Bibliographie"/>
      </w:pPr>
      <w:r>
        <w:t xml:space="preserve">Thiers, L., K. Delord, C. Barbraud, R. A. Phillips, D. Pinaud, and H. Weimerskirch. 2014.</w:t>
      </w:r>
      <w:r>
        <w:t xml:space="preserve"> </w:t>
      </w:r>
      <w:hyperlink r:id="rId216">
        <w:r>
          <w:rPr>
            <w:rStyle w:val="Lienhypertexte"/>
          </w:rPr>
          <w:t xml:space="preserve">Foraging</w:t>
        </w:r>
        <w:r>
          <w:rPr>
            <w:rStyle w:val="Lienhypertexte"/>
          </w:rPr>
          <w:t xml:space="preserve"> </w:t>
        </w:r>
        <w:r>
          <w:rPr>
            <w:rStyle w:val="Lienhypertexte"/>
          </w:rPr>
          <w:t xml:space="preserve">Zones</w:t>
        </w:r>
        <w:r>
          <w:rPr>
            <w:rStyle w:val="Lienhypertexte"/>
          </w:rPr>
          <w:t xml:space="preserve"> </w:t>
        </w:r>
        <w:r>
          <w:rPr>
            <w:rStyle w:val="Lienhypertexte"/>
          </w:rPr>
          <w:t xml:space="preserve">of the</w:t>
        </w:r>
        <w:r>
          <w:rPr>
            <w:rStyle w:val="Lienhypertexte"/>
          </w:rPr>
          <w:t xml:space="preserve"> </w:t>
        </w:r>
        <w:r>
          <w:rPr>
            <w:rStyle w:val="Lienhypertexte"/>
          </w:rPr>
          <w:t xml:space="preserve">Two Sibling Species</w:t>
        </w:r>
        <w:r>
          <w:rPr>
            <w:rStyle w:val="Lienhypertexte"/>
          </w:rPr>
          <w:t xml:space="preserve"> </w:t>
        </w:r>
        <w:r>
          <w:rPr>
            <w:rStyle w:val="Lienhypertexte"/>
          </w:rPr>
          <w:t xml:space="preserve">of</w:t>
        </w:r>
        <w:r>
          <w:rPr>
            <w:rStyle w:val="Lienhypertexte"/>
          </w:rPr>
          <w:t xml:space="preserve"> </w:t>
        </w:r>
        <w:r>
          <w:rPr>
            <w:rStyle w:val="Lienhypertexte"/>
          </w:rPr>
          <w:t xml:space="preserve">Giant Petrels</w:t>
        </w:r>
        <w:r>
          <w:rPr>
            <w:rStyle w:val="Lienhypertexte"/>
          </w:rPr>
          <w:t xml:space="preserve"> </w:t>
        </w:r>
        <w:r>
          <w:rPr>
            <w:rStyle w:val="Lienhypertexte"/>
          </w:rPr>
          <w:t xml:space="preserve">in the</w:t>
        </w:r>
        <w:r>
          <w:rPr>
            <w:rStyle w:val="Lienhypertexte"/>
          </w:rPr>
          <w:t xml:space="preserve"> </w:t>
        </w:r>
        <w:r>
          <w:rPr>
            <w:rStyle w:val="Lienhypertexte"/>
          </w:rPr>
          <w:t xml:space="preserve">Indian Ocean Throughout</w:t>
        </w:r>
        <w:r>
          <w:rPr>
            <w:rStyle w:val="Lienhypertexte"/>
          </w:rPr>
          <w:t xml:space="preserve"> </w:t>
        </w:r>
        <w:r>
          <w:rPr>
            <w:rStyle w:val="Lienhypertexte"/>
          </w:rPr>
          <w:t xml:space="preserve">the</w:t>
        </w:r>
        <w:r>
          <w:rPr>
            <w:rStyle w:val="Lienhypertexte"/>
          </w:rPr>
          <w:t xml:space="preserve"> </w:t>
        </w:r>
        <w:r>
          <w:rPr>
            <w:rStyle w:val="Lienhypertexte"/>
          </w:rPr>
          <w:t xml:space="preserve">Annual Cycle</w:t>
        </w:r>
        <w:r>
          <w:rPr>
            <w:rStyle w:val="Lienhypertexte"/>
          </w:rPr>
          <w:t xml:space="preserve">:</w:t>
        </w:r>
        <w:r>
          <w:rPr>
            <w:rStyle w:val="Lienhypertexte"/>
          </w:rPr>
          <w:t xml:space="preserve"> </w:t>
        </w:r>
        <w:r>
          <w:rPr>
            <w:rStyle w:val="Lienhypertexte"/>
          </w:rPr>
          <w:t xml:space="preserve">Implication</w:t>
        </w:r>
        <w:r>
          <w:rPr>
            <w:rStyle w:val="Lienhypertexte"/>
          </w:rPr>
          <w:t xml:space="preserve"> </w:t>
        </w:r>
        <w:r>
          <w:rPr>
            <w:rStyle w:val="Lienhypertexte"/>
          </w:rPr>
          <w:t xml:space="preserve">for</w:t>
        </w:r>
        <w:r>
          <w:rPr>
            <w:rStyle w:val="Lienhypertexte"/>
          </w:rPr>
          <w:t xml:space="preserve"> </w:t>
        </w:r>
        <w:r>
          <w:rPr>
            <w:rStyle w:val="Lienhypertexte"/>
          </w:rPr>
          <w:t xml:space="preserve">Their Conservation</w:t>
        </w:r>
      </w:hyperlink>
      <w:r>
        <w:t xml:space="preserve">. Marine Ecology Progress Series 499:233–248.</w:t>
      </w:r>
    </w:p>
    <w:bookmarkEnd w:id="217"/>
    <w:bookmarkStart w:id="219" w:name="ref-Tinker.etal2008"/>
    <w:p>
      <w:pPr>
        <w:pStyle w:val="Bibliographie"/>
      </w:pPr>
      <w:r>
        <w:t xml:space="preserve">Tinker, M. T., G. Bentall, and J. A. Estes. 2008.</w:t>
      </w:r>
      <w:r>
        <w:t xml:space="preserve"> </w:t>
      </w:r>
      <w:hyperlink r:id="rId218">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219"/>
    <w:bookmarkStart w:id="220"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220"/>
    <w:bookmarkStart w:id="222" w:name="Xa9f710354cc886f3275f2724e3e26c0203e8293"/>
    <w:p>
      <w:pPr>
        <w:pStyle w:val="Bibliographie"/>
      </w:pPr>
      <w:r>
        <w:t xml:space="preserve">Toscano, B. J., N. J. Gownaris, S. M. Heerhartz, and C. J. Monaco. 2016.</w:t>
      </w:r>
      <w:r>
        <w:t xml:space="preserve"> </w:t>
      </w:r>
      <w:hyperlink r:id="rId221">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222"/>
    <w:bookmarkStart w:id="224" w:name="X2d34a8037745a9f1e9ed0eb47d31f23e92657a6"/>
    <w:p>
      <w:pPr>
        <w:pStyle w:val="Bibliographie"/>
      </w:pPr>
      <w:r>
        <w:t xml:space="preserve">Toscano, B. J., and B. D. Griffen. 2014.</w:t>
      </w:r>
      <w:r>
        <w:t xml:space="preserve"> </w:t>
      </w:r>
      <w:hyperlink r:id="rId223">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224"/>
    <w:bookmarkStart w:id="226" w:name="ref-vandenBosch.etal2019"/>
    <w:p>
      <w:pPr>
        <w:pStyle w:val="Bibliographie"/>
      </w:pPr>
      <w:r>
        <w:t xml:space="preserve">van den Bosch, M., J. M. Baert, W. Müller, L. Lens, and E. W. M. Stienen. 2019.</w:t>
      </w:r>
      <w:r>
        <w:t xml:space="preserve"> </w:t>
      </w:r>
      <w:hyperlink r:id="rId225">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226"/>
    <w:bookmarkStart w:id="228" w:name="ref-Vehanen2003"/>
    <w:p>
      <w:pPr>
        <w:pStyle w:val="Bibliographie"/>
      </w:pPr>
      <w:r>
        <w:t xml:space="preserve">Vehanen, T. 2003.</w:t>
      </w:r>
      <w:r>
        <w:t xml:space="preserve"> </w:t>
      </w:r>
      <w:hyperlink r:id="rId227">
        <w:r>
          <w:rPr>
            <w:rStyle w:val="Lienhypertexte"/>
          </w:rPr>
          <w:t xml:space="preserve">Adaptive</w:t>
        </w:r>
        <w:r>
          <w:rPr>
            <w:rStyle w:val="Lienhypertexte"/>
          </w:rPr>
          <w:t xml:space="preserve"> </w:t>
        </w:r>
        <w:r>
          <w:rPr>
            <w:rStyle w:val="Lienhypertexte"/>
          </w:rPr>
          <w:t xml:space="preserve">Flexibility</w:t>
        </w:r>
        <w:r>
          <w:rPr>
            <w:rStyle w:val="Lienhypertexte"/>
          </w:rPr>
          <w:t xml:space="preserve"> </w:t>
        </w:r>
        <w:r>
          <w:rPr>
            <w:rStyle w:val="Lienhypertexte"/>
          </w:rPr>
          <w:t xml:space="preserve">in the</w:t>
        </w:r>
        <w:r>
          <w:rPr>
            <w:rStyle w:val="Lienhypertexte"/>
          </w:rPr>
          <w:t xml:space="preserve"> </w:t>
        </w:r>
        <w:r>
          <w:rPr>
            <w:rStyle w:val="Lienhypertexte"/>
          </w:rPr>
          <w:t xml:space="preserve">Behaviour</w:t>
        </w:r>
        <w:r>
          <w:rPr>
            <w:rStyle w:val="Lienhypertexte"/>
          </w:rPr>
          <w:t xml:space="preserve"> </w:t>
        </w:r>
        <w:r>
          <w:rPr>
            <w:rStyle w:val="Lienhypertexte"/>
          </w:rPr>
          <w:t xml:space="preserve">of</w:t>
        </w:r>
        <w:r>
          <w:rPr>
            <w:rStyle w:val="Lienhypertexte"/>
          </w:rPr>
          <w:t xml:space="preserve"> </w:t>
        </w:r>
        <w:r>
          <w:rPr>
            <w:rStyle w:val="Lienhypertexte"/>
          </w:rPr>
          <w:t xml:space="preserve">Juvenile Atlantic Salmon</w:t>
        </w:r>
        <w:r>
          <w:rPr>
            <w:rStyle w:val="Lienhypertexte"/>
          </w:rPr>
          <w:t xml:space="preserve">:</w:t>
        </w:r>
        <w:r>
          <w:rPr>
            <w:rStyle w:val="Lienhypertexte"/>
          </w:rPr>
          <w:t xml:space="preserve"> </w:t>
        </w:r>
        <w:r>
          <w:rPr>
            <w:rStyle w:val="Lienhypertexte"/>
          </w:rPr>
          <w:t xml:space="preserve">Short-Term Responses</w:t>
        </w:r>
        <w:r>
          <w:rPr>
            <w:rStyle w:val="Lienhypertexte"/>
          </w:rPr>
          <w:t xml:space="preserve"> </w:t>
        </w:r>
        <w:r>
          <w:rPr>
            <w:rStyle w:val="Lienhypertexte"/>
          </w:rPr>
          <w:t xml:space="preserve">to</w:t>
        </w:r>
        <w:r>
          <w:rPr>
            <w:rStyle w:val="Lienhypertexte"/>
          </w:rPr>
          <w:t xml:space="preserve"> </w:t>
        </w:r>
        <w:r>
          <w:rPr>
            <w:rStyle w:val="Lienhypertexte"/>
          </w:rPr>
          <w:t xml:space="preserve">Food Availability</w:t>
        </w:r>
        <w:r>
          <w:rPr>
            <w:rStyle w:val="Lienhypertexte"/>
          </w:rPr>
          <w:t xml:space="preserve"> </w:t>
        </w:r>
        <w:r>
          <w:rPr>
            <w:rStyle w:val="Lienhypertexte"/>
          </w:rPr>
          <w:t xml:space="preserve">and</w:t>
        </w:r>
        <w:r>
          <w:rPr>
            <w:rStyle w:val="Lienhypertexte"/>
          </w:rPr>
          <w:t xml:space="preserve"> </w:t>
        </w:r>
        <w:r>
          <w:rPr>
            <w:rStyle w:val="Lienhypertexte"/>
          </w:rPr>
          <w:t xml:space="preserve">Threat From Predation</w:t>
        </w:r>
      </w:hyperlink>
      <w:r>
        <w:t xml:space="preserve">. Journal of Fish Biology 63:1034–1045.</w:t>
      </w:r>
    </w:p>
    <w:bookmarkEnd w:id="228"/>
    <w:bookmarkStart w:id="230" w:name="ref-Vehtari.etal2017"/>
    <w:p>
      <w:pPr>
        <w:pStyle w:val="Bibliographie"/>
      </w:pPr>
      <w:r>
        <w:t xml:space="preserve">Vehtari, A., A. Gelman, and J. Gabry. 2017.</w:t>
      </w:r>
      <w:r>
        <w:t xml:space="preserve"> </w:t>
      </w:r>
      <w:hyperlink r:id="rId229">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30"/>
    <w:bookmarkStart w:id="232" w:name="ref-Vehtari.etal2021a"/>
    <w:p>
      <w:pPr>
        <w:pStyle w:val="Bibliographie"/>
      </w:pPr>
      <w:r>
        <w:t xml:space="preserve">Vehtari, A., A. Gelman, D. Simpson, B. Carpenter, and P.-C. Bürkner. 2021.</w:t>
      </w:r>
      <w:r>
        <w:t xml:space="preserve"> </w:t>
      </w:r>
      <w:hyperlink r:id="rId231">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32"/>
    <w:bookmarkStart w:id="234" w:name="ref-Vehtari.etal2022"/>
    <w:p>
      <w:pPr>
        <w:pStyle w:val="Bibliographie"/>
      </w:pPr>
      <w:r>
        <w:t xml:space="preserve">Vehtari, A., D. Simpson, A. Gelman, Y. Yao, and J. Gabry. 2022, August.</w:t>
      </w:r>
      <w:r>
        <w:t xml:space="preserve"> </w:t>
      </w:r>
      <w:hyperlink r:id="rId233">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34"/>
    <w:bookmarkStart w:id="236" w:name="ref-viaAdaptivePhenotypicPlasticity1995"/>
    <w:p>
      <w:pPr>
        <w:pStyle w:val="Bibliographie"/>
      </w:pPr>
      <w:r>
        <w:t xml:space="preserve">Via, S., R. Gomulkiewicz, G. De Jong, S. M. Scheiner, C. D. Schlichting, and P. H. Van Tienderen. 1995.</w:t>
      </w:r>
      <w:r>
        <w:t xml:space="preserve"> </w:t>
      </w:r>
      <w:hyperlink r:id="rId235">
        <w:r>
          <w:rPr>
            <w:rStyle w:val="Lienhypertexte"/>
          </w:rPr>
          <w:t xml:space="preserve">Adaptive</w:t>
        </w:r>
        <w:r>
          <w:rPr>
            <w:rStyle w:val="Lienhypertexte"/>
          </w:rPr>
          <w:t xml:space="preserve"> </w:t>
        </w:r>
        <w:r>
          <w:rPr>
            <w:rStyle w:val="Lienhypertexte"/>
          </w:rPr>
          <w:t xml:space="preserve">Phenotypic Plasticity</w:t>
        </w:r>
        <w:r>
          <w:rPr>
            <w:rStyle w:val="Lienhypertexte"/>
          </w:rPr>
          <w:t xml:space="preserve">:</w:t>
        </w:r>
        <w:r>
          <w:rPr>
            <w:rStyle w:val="Lienhypertexte"/>
          </w:rPr>
          <w:t xml:space="preserve"> </w:t>
        </w:r>
        <w:r>
          <w:rPr>
            <w:rStyle w:val="Lienhypertexte"/>
          </w:rPr>
          <w:t xml:space="preserve">Consensus</w:t>
        </w:r>
        <w:r>
          <w:rPr>
            <w:rStyle w:val="Lienhypertexte"/>
          </w:rPr>
          <w:t xml:space="preserve"> </w:t>
        </w:r>
        <w:r>
          <w:rPr>
            <w:rStyle w:val="Lienhypertexte"/>
          </w:rPr>
          <w:t xml:space="preserve">and</w:t>
        </w:r>
        <w:r>
          <w:rPr>
            <w:rStyle w:val="Lienhypertexte"/>
          </w:rPr>
          <w:t xml:space="preserve"> </w:t>
        </w:r>
        <w:r>
          <w:rPr>
            <w:rStyle w:val="Lienhypertexte"/>
          </w:rPr>
          <w:t xml:space="preserve">Controversy</w:t>
        </w:r>
      </w:hyperlink>
      <w:r>
        <w:t xml:space="preserve">. Trends in Ecology &amp; Evolution 10:212–217.</w:t>
      </w:r>
    </w:p>
    <w:bookmarkEnd w:id="236"/>
    <w:bookmarkStart w:id="238" w:name="ref-Via.Lande1985"/>
    <w:p>
      <w:pPr>
        <w:pStyle w:val="Bibliographie"/>
      </w:pPr>
      <w:r>
        <w:t xml:space="preserve">Via, S., and R. Lande. 1985.</w:t>
      </w:r>
      <w:r>
        <w:t xml:space="preserve"> </w:t>
      </w:r>
      <w:hyperlink r:id="rId237">
        <w:r>
          <w:rPr>
            <w:rStyle w:val="Lienhypertexte"/>
          </w:rPr>
          <w:t xml:space="preserve">Genotype-</w:t>
        </w:r>
        <w:r>
          <w:rPr>
            <w:rStyle w:val="Lienhypertexte"/>
          </w:rPr>
          <w:t xml:space="preserve">Environment Interaction</w:t>
        </w:r>
        <w:r>
          <w:rPr>
            <w:rStyle w:val="Lienhypertexte"/>
          </w:rPr>
          <w:t xml:space="preserve"> </w:t>
        </w:r>
        <w:r>
          <w:rPr>
            <w:rStyle w:val="Lienhypertexte"/>
          </w:rPr>
          <w:t xml:space="preserve">and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Phenotypic Plasticity</w:t>
        </w:r>
      </w:hyperlink>
      <w:r>
        <w:t xml:space="preserve">. Evolution 39:505–522.</w:t>
      </w:r>
    </w:p>
    <w:bookmarkEnd w:id="238"/>
    <w:bookmarkStart w:id="240" w:name="ref-Walker.etal2005"/>
    <w:p>
      <w:pPr>
        <w:pStyle w:val="Bibliographie"/>
      </w:pPr>
      <w:r>
        <w:t xml:space="preserve">Walker, J. A., C. K. Ghalambor, O. L. Griset, D. McKENNEY, and D. N. Reznick. 2005.</w:t>
      </w:r>
      <w:r>
        <w:t xml:space="preserve"> </w:t>
      </w:r>
      <w:hyperlink r:id="rId239">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40"/>
    <w:bookmarkStart w:id="242" w:name="ref-Warburton2003"/>
    <w:p>
      <w:pPr>
        <w:pStyle w:val="Bibliographie"/>
      </w:pPr>
      <w:r>
        <w:t xml:space="preserve">Warburton, K. 2003.</w:t>
      </w:r>
      <w:r>
        <w:t xml:space="preserve"> </w:t>
      </w:r>
      <w:hyperlink r:id="rId241">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42"/>
    <w:bookmarkStart w:id="244" w:name="ref-Ward-Fear.etal2020"/>
    <w:p>
      <w:pPr>
        <w:pStyle w:val="Bibliographie"/>
      </w:pPr>
      <w:r>
        <w:t xml:space="preserve">Ward-Fear, G., G. P. Brown, and R. Shine. 2020.</w:t>
      </w:r>
      <w:r>
        <w:t xml:space="preserve"> </w:t>
      </w:r>
      <w:hyperlink r:id="rId243">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44"/>
    <w:bookmarkStart w:id="246" w:name="ref-Weimerskirch2007"/>
    <w:p>
      <w:pPr>
        <w:pStyle w:val="Bibliographie"/>
      </w:pPr>
      <w:r>
        <w:t xml:space="preserve">Weimerskirch, H. 2007.</w:t>
      </w:r>
      <w:r>
        <w:t xml:space="preserve"> </w:t>
      </w:r>
      <w:hyperlink r:id="rId245">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46"/>
    <w:bookmarkStart w:id="248" w:name="ref-Weimerskirch.etal2005"/>
    <w:p>
      <w:pPr>
        <w:pStyle w:val="Bibliographie"/>
      </w:pPr>
      <w:r>
        <w:t xml:space="preserve">Weimerskirch, H., A. Gault, and Y. Cherel. 2005.</w:t>
      </w:r>
      <w:r>
        <w:t xml:space="preserve"> </w:t>
      </w:r>
      <w:hyperlink r:id="rId247">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48"/>
    <w:bookmarkStart w:id="250" w:name="ref-westneatBiologyHiddenResidual2014"/>
    <w:p>
      <w:pPr>
        <w:pStyle w:val="Bibliographie"/>
      </w:pPr>
      <w:r>
        <w:t xml:space="preserve">Westneat, D. F., J. Wright, and N. J. Dingemanse. 2014.</w:t>
      </w:r>
      <w:r>
        <w:t xml:space="preserve"> </w:t>
      </w:r>
      <w:hyperlink r:id="rId249">
        <w:r>
          <w:rPr>
            <w:rStyle w:val="Lienhypertexte"/>
          </w:rPr>
          <w:t xml:space="preserve">The</w:t>
        </w:r>
        <w:r>
          <w:rPr>
            <w:rStyle w:val="Lienhypertexte"/>
          </w:rPr>
          <w:t xml:space="preserve"> </w:t>
        </w:r>
        <w:r>
          <w:rPr>
            <w:rStyle w:val="Lienhypertexte"/>
          </w:rPr>
          <w:t xml:space="preserve">Biology Hidden Inside Residual Within-Individual Phenotypic Variation</w:t>
        </w:r>
      </w:hyperlink>
      <w:r>
        <w:t xml:space="preserve">. Biological Reviews 90:729–743.</w:t>
      </w:r>
    </w:p>
    <w:bookmarkEnd w:id="250"/>
    <w:bookmarkStart w:id="252"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51">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52"/>
    <w:bookmarkStart w:id="254" w:name="ref-Wilson-Rankin2015"/>
    <w:p>
      <w:pPr>
        <w:pStyle w:val="Bibliographie"/>
      </w:pPr>
      <w:r>
        <w:t xml:space="preserve">Wilson-Rankin, E. E. 2015.</w:t>
      </w:r>
      <w:r>
        <w:t xml:space="preserve"> </w:t>
      </w:r>
      <w:hyperlink r:id="rId253">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54"/>
    <w:bookmarkStart w:id="256" w:name="ref-Woo.etal2008"/>
    <w:p>
      <w:pPr>
        <w:pStyle w:val="Bibliographie"/>
      </w:pPr>
      <w:r>
        <w:t xml:space="preserve">Woo, K. J., K. H. Elliott, M. Davidson, A. J. Gaston, and G. K. Davoren. 2008.</w:t>
      </w:r>
      <w:r>
        <w:t xml:space="preserve"> </w:t>
      </w:r>
      <w:hyperlink r:id="rId255">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56"/>
    <w:bookmarkStart w:id="258" w:name="ref-Wright.etal2022"/>
    <w:p>
      <w:pPr>
        <w:pStyle w:val="Bibliographie"/>
      </w:pPr>
      <w:r>
        <w:t xml:space="preserve">Wright, J., T. R. Haaland, N. J. Dingemanse, and D. F. Westneat. 2022.</w:t>
      </w:r>
      <w:r>
        <w:t xml:space="preserve"> </w:t>
      </w:r>
      <w:hyperlink r:id="rId257">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58"/>
    <w:bookmarkEnd w:id="259"/>
    <w:p>
      <w:r>
        <w:br w:type="page"/>
      </w:r>
    </w:p>
    <w:bookmarkEnd w:id="260"/>
    <w:bookmarkStart w:id="261"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-146 338.37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166.96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167.21</w:t>
            </w:r>
          </w:p>
        </w:tc>
      </w:tr>
      <w:tr>
        <w:trPr>
          <w:trHeight w:val="360"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163.31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'elpd' refers to the expected log pointwise density and is the value chosen to select the best model.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( 3.26,  3.55)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3.41 ( 3.25,  3.56)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2.90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2.84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(0.21, 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(0.26,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0.19)</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(1.43,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(0.05, 0.09)</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(0.67,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 (0.53, 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(0.53,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bookmarkEnd w:id="261"/>
    <w:bookmarkStart w:id="262"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0.28 standard deviations.</w:t>
      </w:r>
    </w:p>
    <w:p>
      <w:pPr>
        <w:pStyle w:val="Corpsdetexte"/>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p>
      <w:r>
        <w:br w:type="page"/>
      </w:r>
    </w:p>
    <w:bookmarkEnd w:id="262"/>
    <w:bookmarkStart w:id="272" w:name="figures"/>
    <w:p>
      <w:pPr>
        <w:pStyle w:val="Titre1"/>
      </w:pPr>
      <w:r>
        <w:t xml:space="preserve">FIGURES</w:t>
      </w:r>
    </w:p>
    <w:p>
      <w:pPr>
        <w:pStyle w:val="CaptionedFigure"/>
      </w:pPr>
      <w:r>
        <w:drawing>
          <wp:inline>
            <wp:extent cx="5943600" cy="2377440"/>
            <wp:effectExtent b="0" l="0" r="0" t="0"/>
            <wp:docPr descr="Figure 1" title="" id="264" name="Picture"/>
            <a:graphic>
              <a:graphicData uri="http://schemas.openxmlformats.org/drawingml/2006/picture">
                <pic:pic>
                  <pic:nvPicPr>
                    <pic:cNvPr descr="C:/Users/maxim/Documents/GitHub/Chapter2/outputs/04_outputs_figures/figure1.png" id="265" name="Picture"/>
                    <pic:cNvPicPr>
                      <a:picLocks noChangeArrowheads="1" noChangeAspect="1"/>
                    </pic:cNvPicPr>
                  </pic:nvPicPr>
                  <pic:blipFill>
                    <a:blip r:embed="rId263"/>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852928"/>
            <wp:effectExtent b="0" l="0" r="0" t="0"/>
            <wp:docPr descr="Figure 2" title="" id="267" name="Picture"/>
            <a:graphic>
              <a:graphicData uri="http://schemas.openxmlformats.org/drawingml/2006/picture">
                <pic:pic>
                  <pic:nvPicPr>
                    <pic:cNvPr descr="C:/Users/maxim/Documents/GitHub/Chapter2/outputs/04_outputs_figures/figure2.png" id="268" name="Picture"/>
                    <pic:cNvPicPr>
                      <a:picLocks noChangeArrowheads="1" noChangeAspect="1"/>
                    </pic:cNvPicPr>
                  </pic:nvPicPr>
                  <pic:blipFill>
                    <a:blip r:embed="rId266"/>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567945"/>
            <wp:effectExtent b="0" l="0" r="0" t="0"/>
            <wp:docPr descr="Figure 3" title="" id="270" name="Picture"/>
            <a:graphic>
              <a:graphicData uri="http://schemas.openxmlformats.org/drawingml/2006/picture">
                <pic:pic>
                  <pic:nvPicPr>
                    <pic:cNvPr descr="C:/Users/maxim/Documents/GitHub/Chapter2/outputs/04_outputs_figures/figure3.png" id="271" name="Picture"/>
                    <pic:cNvPicPr>
                      <a:picLocks noChangeArrowheads="1" noChangeAspect="1"/>
                    </pic:cNvPicPr>
                  </pic:nvPicPr>
                  <pic:blipFill>
                    <a:blip r:embed="rId269"/>
                    <a:stretch>
                      <a:fillRect/>
                    </a:stretch>
                  </pic:blipFill>
                  <pic:spPr bwMode="auto">
                    <a:xfrm>
                      <a:off x="0" y="0"/>
                      <a:ext cx="5943600" cy="2567945"/>
                    </a:xfrm>
                    <a:prstGeom prst="rect">
                      <a:avLst/>
                    </a:prstGeom>
                    <a:noFill/>
                    <a:ln w="9525">
                      <a:noFill/>
                      <a:headEnd/>
                      <a:tailEnd/>
                    </a:ln>
                  </pic:spPr>
                </pic:pic>
              </a:graphicData>
            </a:graphic>
          </wp:inline>
        </w:drawing>
      </w:r>
    </w:p>
    <w:p>
      <w:pPr>
        <w:pStyle w:val="ImageCaption"/>
      </w:pPr>
      <w:r>
        <w:rPr>
          <w:bCs/>
          <w:b/>
        </w:rPr>
        <w:t xml:space="preserve">Figure 3</w:t>
      </w:r>
    </w:p>
    <w:bookmarkEnd w:id="272"/>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3" Target="media/rId263.png" /><Relationship Type="http://schemas.openxmlformats.org/officeDocument/2006/relationships/image" Id="rId266" Target="media/rId266.png" /><Relationship Type="http://schemas.openxmlformats.org/officeDocument/2006/relationships/image" Id="rId269" Target="media/rId269.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9" Target="https://doi.org/10.1002/9781444342536.ch3" TargetMode="External" /><Relationship Type="http://schemas.openxmlformats.org/officeDocument/2006/relationships/hyperlink" Id="rId165"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207" Target="https://doi.org/10.1007/978-1-4615-2814-2_8" TargetMode="External" /><Relationship Type="http://schemas.openxmlformats.org/officeDocument/2006/relationships/hyperlink" Id="rId187" Target="https://doi.org/10.1007/s00265-014-1779-7" TargetMode="External" /><Relationship Type="http://schemas.openxmlformats.org/officeDocument/2006/relationships/hyperlink" Id="rId253"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209" Target="https://doi.org/10.1007/s00265-020-02854-9" TargetMode="External" /><Relationship Type="http://schemas.openxmlformats.org/officeDocument/2006/relationships/hyperlink" Id="rId137" Target="https://doi.org/10.1007/s00442-009-1415-9" TargetMode="External" /><Relationship Type="http://schemas.openxmlformats.org/officeDocument/2006/relationships/hyperlink" Id="rId157" Target="https://doi.org/10.1007/s00442-016-3631-4" TargetMode="External" /><Relationship Type="http://schemas.openxmlformats.org/officeDocument/2006/relationships/hyperlink" Id="rId221" Target="https://doi.org/10.1007/s00442-016-3648-8" TargetMode="External" /><Relationship Type="http://schemas.openxmlformats.org/officeDocument/2006/relationships/hyperlink" Id="rId95" Target="https://doi.org/10.1007/s10071-019-01301-1" TargetMode="External" /><Relationship Type="http://schemas.openxmlformats.org/officeDocument/2006/relationships/hyperlink" Id="rId121" Target="https://doi.org/10.1007/s10144-009-0185-x" TargetMode="External" /><Relationship Type="http://schemas.openxmlformats.org/officeDocument/2006/relationships/hyperlink" Id="rId153" Target="https://doi.org/10.1007/s10682-009-9336-y" TargetMode="External" /><Relationship Type="http://schemas.openxmlformats.org/officeDocument/2006/relationships/hyperlink" Id="rId185" Target="https://doi.org/10.1007/s11222-016-9649-y" TargetMode="External" /><Relationship Type="http://schemas.openxmlformats.org/officeDocument/2006/relationships/hyperlink" Id="rId229" Target="https://doi.org/10.1007/s11222-016-9696-4" TargetMode="External" /><Relationship Type="http://schemas.openxmlformats.org/officeDocument/2006/relationships/hyperlink" Id="rId141"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3" Target="https://doi.org/10.1016/B978-0-12-804327-1.00126-6" TargetMode="External" /><Relationship Type="http://schemas.openxmlformats.org/officeDocument/2006/relationships/hyperlink" Id="rId101" Target="https://doi.org/10.1016/S0003-3472(89)80010-7" TargetMode="External" /><Relationship Type="http://schemas.openxmlformats.org/officeDocument/2006/relationships/hyperlink" Id="rId235" Target="https://doi.org/10.1016/S0169-5347(00)89061-8" TargetMode="External" /><Relationship Type="http://schemas.openxmlformats.org/officeDocument/2006/relationships/hyperlink" Id="rId109" Target="https://doi.org/10.1016/j.anbehav.2006.11.021" TargetMode="External" /><Relationship Type="http://schemas.openxmlformats.org/officeDocument/2006/relationships/hyperlink" Id="rId205" Target="https://doi.org/10.1016/j.anbehav.2012.12.031" TargetMode="External" /><Relationship Type="http://schemas.openxmlformats.org/officeDocument/2006/relationships/hyperlink" Id="rId191" Target="https://doi.org/10.1016/j.anbehav.2015.02.008" TargetMode="External" /><Relationship Type="http://schemas.openxmlformats.org/officeDocument/2006/relationships/hyperlink" Id="rId93" Target="https://doi.org/10.1016/j.anbehav.2016.06.024" TargetMode="External" /><Relationship Type="http://schemas.openxmlformats.org/officeDocument/2006/relationships/hyperlink" Id="rId127" Target="https://doi.org/10.1016/j.anbehav.2017.07.010" TargetMode="External" /><Relationship Type="http://schemas.openxmlformats.org/officeDocument/2006/relationships/hyperlink" Id="rId89" Target="https://doi.org/10.1016/j.anbehav.2018.05.010" TargetMode="External" /><Relationship Type="http://schemas.openxmlformats.org/officeDocument/2006/relationships/hyperlink" Id="rId213"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51" Target="https://doi.org/10.1016/j.cub.2021.09.048" TargetMode="External" /><Relationship Type="http://schemas.openxmlformats.org/officeDocument/2006/relationships/hyperlink" Id="rId123" Target="https://doi.org/10.1016/j.dcn.2011.05.008" TargetMode="External" /><Relationship Type="http://schemas.openxmlformats.org/officeDocument/2006/relationships/hyperlink" Id="rId245" Target="https://doi.org/10.1016/j.dsr2.2006.11.013" TargetMode="External" /><Relationship Type="http://schemas.openxmlformats.org/officeDocument/2006/relationships/hyperlink" Id="rId97" Target="https://doi.org/10.1016/j.jembe.2009.10.004" TargetMode="External" /><Relationship Type="http://schemas.openxmlformats.org/officeDocument/2006/relationships/hyperlink" Id="rId117" Target="https://doi.org/10.1016/j.jembe.2018.11.002" TargetMode="External" /><Relationship Type="http://schemas.openxmlformats.org/officeDocument/2006/relationships/hyperlink" Id="rId193"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51" Target="https://doi.org/10.1038/nature25479" TargetMode="External" /><Relationship Type="http://schemas.openxmlformats.org/officeDocument/2006/relationships/hyperlink" Id="rId161" Target="https://doi.org/10.1038/s41467-017-00373-2" TargetMode="External" /><Relationship Type="http://schemas.openxmlformats.org/officeDocument/2006/relationships/hyperlink" Id="rId201" Target="https://doi.org/10.1038/s41598-019-41791-0" TargetMode="External" /><Relationship Type="http://schemas.openxmlformats.org/officeDocument/2006/relationships/hyperlink" Id="rId84"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27" Target="https://doi.org/10.1046/j.1095-8649.2003.00228.x" TargetMode="External" /><Relationship Type="http://schemas.openxmlformats.org/officeDocument/2006/relationships/hyperlink" Id="rId104" Target="https://doi.org/10.1046/j.1365-2656.2003.00690.x" TargetMode="External" /><Relationship Type="http://schemas.openxmlformats.org/officeDocument/2006/relationships/hyperlink" Id="rId241" Target="https://doi.org/10.1046/j.1467-2979.2003.00125.x" TargetMode="External" /><Relationship Type="http://schemas.openxmlformats.org/officeDocument/2006/relationships/hyperlink" Id="rId218" Target="https://doi.org/10.1073/pnas.0709263105" TargetMode="External" /><Relationship Type="http://schemas.openxmlformats.org/officeDocument/2006/relationships/hyperlink" Id="rId21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9" Target="https://doi.org/10.1080/03014223.1994.9517994" TargetMode="External" /><Relationship Type="http://schemas.openxmlformats.org/officeDocument/2006/relationships/hyperlink" Id="rId173" Target="https://doi.org/10.1086/518952" TargetMode="External" /><Relationship Type="http://schemas.openxmlformats.org/officeDocument/2006/relationships/hyperlink" Id="rId149" Target="https://doi.org/10.1086/673526" TargetMode="External" /><Relationship Type="http://schemas.openxmlformats.org/officeDocument/2006/relationships/hyperlink" Id="rId155" Target="https://doi.org/10.1093/beheco/araa123" TargetMode="External" /><Relationship Type="http://schemas.openxmlformats.org/officeDocument/2006/relationships/hyperlink" Id="rId106" Target="https://doi.org/10.1093/beheco/arac063" TargetMode="External" /><Relationship Type="http://schemas.openxmlformats.org/officeDocument/2006/relationships/hyperlink" Id="rId125" Target="https://doi.org/10.1093/beheco/arr062" TargetMode="External" /><Relationship Type="http://schemas.openxmlformats.org/officeDocument/2006/relationships/hyperlink" Id="rId203" Target="https://doi.org/10.1093/beheco/arw009" TargetMode="External" /><Relationship Type="http://schemas.openxmlformats.org/officeDocument/2006/relationships/hyperlink" Id="rId225"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77" Target="https://doi.org/10.1098/rsbl.2014.0630" TargetMode="External" /><Relationship Type="http://schemas.openxmlformats.org/officeDocument/2006/relationships/hyperlink" Id="rId159" Target="https://doi.org/10.1098/rsos.160352" TargetMode="External" /><Relationship Type="http://schemas.openxmlformats.org/officeDocument/2006/relationships/hyperlink" Id="rId197" Target="https://doi.org/10.1098/rspb.2018.1112" TargetMode="External" /><Relationship Type="http://schemas.openxmlformats.org/officeDocument/2006/relationships/hyperlink" Id="rId223" Target="https://doi.org/10.1111/1365-2656.12236" TargetMode="External" /><Relationship Type="http://schemas.openxmlformats.org/officeDocument/2006/relationships/hyperlink" Id="rId131" Target="https://doi.org/10.1111/1365-2656.12347" TargetMode="External" /><Relationship Type="http://schemas.openxmlformats.org/officeDocument/2006/relationships/hyperlink" Id="rId143"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71" Target="https://doi.org/10.1111/2041-210X.13755" TargetMode="External" /><Relationship Type="http://schemas.openxmlformats.org/officeDocument/2006/relationships/hyperlink" Id="rId249" Target="https://doi.org/10.1111/brv.12131" TargetMode="External" /><Relationship Type="http://schemas.openxmlformats.org/officeDocument/2006/relationships/hyperlink" Id="rId257" Target="https://doi.org/10.1111/brv.12879" TargetMode="External" /><Relationship Type="http://schemas.openxmlformats.org/officeDocument/2006/relationships/hyperlink" Id="rId91" Target="https://doi.org/10.1111/cobi.13633" TargetMode="External" /><Relationship Type="http://schemas.openxmlformats.org/officeDocument/2006/relationships/hyperlink" Id="rId199"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47"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6" Target="https://doi.org/10.1111/evo.14427" TargetMode="External" /><Relationship Type="http://schemas.openxmlformats.org/officeDocument/2006/relationships/hyperlink" Id="rId179" Target="https://doi.org/10.1111/j.1095-8312.2012.01982.x" TargetMode="External" /><Relationship Type="http://schemas.openxmlformats.org/officeDocument/2006/relationships/hyperlink" Id="rId119" Target="https://doi.org/10.1111/j.1095-8649.1992.tb03870.x" TargetMode="External" /><Relationship Type="http://schemas.openxmlformats.org/officeDocument/2006/relationships/hyperlink" Id="rId239" Target="https://doi.org/10.1111/j.1365-2435.2005.01033.x" TargetMode="External" /><Relationship Type="http://schemas.openxmlformats.org/officeDocument/2006/relationships/hyperlink" Id="rId255"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9" Target="https://doi.org/10.1111/j.1467-9876.2006.00538.x" TargetMode="External" /><Relationship Type="http://schemas.openxmlformats.org/officeDocument/2006/relationships/hyperlink" Id="rId169" Target="https://doi.org/10.1111/j.1469-7998.2011.00791.x" TargetMode="External" /><Relationship Type="http://schemas.openxmlformats.org/officeDocument/2006/relationships/hyperlink" Id="rId237" Target="https://doi.org/10.1111/j.1558-5646.1985.tb00391.x" TargetMode="External" /><Relationship Type="http://schemas.openxmlformats.org/officeDocument/2006/relationships/hyperlink" Id="rId167" Target="https://doi.org/10.1111/j.1558-5646.2010.01187.x" TargetMode="External" /><Relationship Type="http://schemas.openxmlformats.org/officeDocument/2006/relationships/hyperlink" Id="rId189" Target="https://doi.org/10.1111/mms.12343" TargetMode="External" /><Relationship Type="http://schemas.openxmlformats.org/officeDocument/2006/relationships/hyperlink" Id="rId163" Target="https://doi.org/10.1111/oik.03642" TargetMode="External" /><Relationship Type="http://schemas.openxmlformats.org/officeDocument/2006/relationships/hyperlink" Id="rId145"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95" Target="https://doi.org/10.1163/000579509X12512871386137" TargetMode="External" /><Relationship Type="http://schemas.openxmlformats.org/officeDocument/2006/relationships/hyperlink" Id="rId243" Target="https://doi.org/10.1163/1568539X-bja10040" TargetMode="External" /><Relationship Type="http://schemas.openxmlformats.org/officeDocument/2006/relationships/hyperlink" Id="rId231" Target="https://doi.org/10.1214/20-BA1221" TargetMode="External" /><Relationship Type="http://schemas.openxmlformats.org/officeDocument/2006/relationships/hyperlink" Id="rId115" Target="https://doi.org/10.1242/jeb.154534" TargetMode="External" /><Relationship Type="http://schemas.openxmlformats.org/officeDocument/2006/relationships/hyperlink" Id="rId17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3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247" Target="https://doi.org/10.1890/04-1866" TargetMode="External" /><Relationship Type="http://schemas.openxmlformats.org/officeDocument/2006/relationships/hyperlink" Id="rId135" Target="https://doi.org/10.1890/08-0238.1" TargetMode="External" /><Relationship Type="http://schemas.openxmlformats.org/officeDocument/2006/relationships/hyperlink" Id="rId111"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8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33" Target="https://doi.org/10.48550/arXiv.1507.02646" TargetMode="External" /><Relationship Type="http://schemas.openxmlformats.org/officeDocument/2006/relationships/hyperlink" Id="rId18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16"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9" Target="https://doi.org/10.1002/9781444342536.ch3" TargetMode="External" /><Relationship Type="http://schemas.openxmlformats.org/officeDocument/2006/relationships/hyperlink" Id="rId165" Target="https://doi.org/10.1006/anbe.2000.1546" TargetMode="External" /><Relationship Type="http://schemas.openxmlformats.org/officeDocument/2006/relationships/hyperlink" Id="rId50" Target="https://doi.org/10.1006/jtbi.1995.0123" TargetMode="External" /><Relationship Type="http://schemas.openxmlformats.org/officeDocument/2006/relationships/hyperlink" Id="rId48" Target="https://doi.org/10.1006/jtbi.1998.0833" TargetMode="External" /><Relationship Type="http://schemas.openxmlformats.org/officeDocument/2006/relationships/hyperlink" Id="rId207" Target="https://doi.org/10.1007/978-1-4615-2814-2_8" TargetMode="External" /><Relationship Type="http://schemas.openxmlformats.org/officeDocument/2006/relationships/hyperlink" Id="rId187" Target="https://doi.org/10.1007/s00265-014-1779-7" TargetMode="External" /><Relationship Type="http://schemas.openxmlformats.org/officeDocument/2006/relationships/hyperlink" Id="rId253" Target="https://doi.org/10.1007/s00265-014-1861-1" TargetMode="External" /><Relationship Type="http://schemas.openxmlformats.org/officeDocument/2006/relationships/hyperlink" Id="rId56" Target="https://doi.org/10.1007/s00265-020-02833-0" TargetMode="External" /><Relationship Type="http://schemas.openxmlformats.org/officeDocument/2006/relationships/hyperlink" Id="rId209" Target="https://doi.org/10.1007/s00265-020-02854-9" TargetMode="External" /><Relationship Type="http://schemas.openxmlformats.org/officeDocument/2006/relationships/hyperlink" Id="rId137" Target="https://doi.org/10.1007/s00442-009-1415-9" TargetMode="External" /><Relationship Type="http://schemas.openxmlformats.org/officeDocument/2006/relationships/hyperlink" Id="rId157" Target="https://doi.org/10.1007/s00442-016-3631-4" TargetMode="External" /><Relationship Type="http://schemas.openxmlformats.org/officeDocument/2006/relationships/hyperlink" Id="rId221" Target="https://doi.org/10.1007/s00442-016-3648-8" TargetMode="External" /><Relationship Type="http://schemas.openxmlformats.org/officeDocument/2006/relationships/hyperlink" Id="rId95" Target="https://doi.org/10.1007/s10071-019-01301-1" TargetMode="External" /><Relationship Type="http://schemas.openxmlformats.org/officeDocument/2006/relationships/hyperlink" Id="rId121" Target="https://doi.org/10.1007/s10144-009-0185-x" TargetMode="External" /><Relationship Type="http://schemas.openxmlformats.org/officeDocument/2006/relationships/hyperlink" Id="rId153" Target="https://doi.org/10.1007/s10682-009-9336-y" TargetMode="External" /><Relationship Type="http://schemas.openxmlformats.org/officeDocument/2006/relationships/hyperlink" Id="rId185" Target="https://doi.org/10.1007/s11222-016-9649-y" TargetMode="External" /><Relationship Type="http://schemas.openxmlformats.org/officeDocument/2006/relationships/hyperlink" Id="rId229" Target="https://doi.org/10.1007/s11222-016-9696-4" TargetMode="External" /><Relationship Type="http://schemas.openxmlformats.org/officeDocument/2006/relationships/hyperlink" Id="rId141" Target="https://doi.org/10.1007/s12110-007-9019-8" TargetMode="External" /><Relationship Type="http://schemas.openxmlformats.org/officeDocument/2006/relationships/hyperlink" Id="rId64" Target="https://doi.org/10.1016/B978-0-08-045337-8.00301-6" TargetMode="External" /><Relationship Type="http://schemas.openxmlformats.org/officeDocument/2006/relationships/hyperlink" Id="rId113" Target="https://doi.org/10.1016/B978-0-12-804327-1.00126-6" TargetMode="External" /><Relationship Type="http://schemas.openxmlformats.org/officeDocument/2006/relationships/hyperlink" Id="rId101" Target="https://doi.org/10.1016/S0003-3472(89)80010-7" TargetMode="External" /><Relationship Type="http://schemas.openxmlformats.org/officeDocument/2006/relationships/hyperlink" Id="rId235" Target="https://doi.org/10.1016/S0169-5347(00)89061-8" TargetMode="External" /><Relationship Type="http://schemas.openxmlformats.org/officeDocument/2006/relationships/hyperlink" Id="rId109" Target="https://doi.org/10.1016/j.anbehav.2006.11.021" TargetMode="External" /><Relationship Type="http://schemas.openxmlformats.org/officeDocument/2006/relationships/hyperlink" Id="rId205" Target="https://doi.org/10.1016/j.anbehav.2012.12.031" TargetMode="External" /><Relationship Type="http://schemas.openxmlformats.org/officeDocument/2006/relationships/hyperlink" Id="rId191" Target="https://doi.org/10.1016/j.anbehav.2015.02.008" TargetMode="External" /><Relationship Type="http://schemas.openxmlformats.org/officeDocument/2006/relationships/hyperlink" Id="rId93" Target="https://doi.org/10.1016/j.anbehav.2016.06.024" TargetMode="External" /><Relationship Type="http://schemas.openxmlformats.org/officeDocument/2006/relationships/hyperlink" Id="rId127" Target="https://doi.org/10.1016/j.anbehav.2017.07.010" TargetMode="External" /><Relationship Type="http://schemas.openxmlformats.org/officeDocument/2006/relationships/hyperlink" Id="rId89" Target="https://doi.org/10.1016/j.anbehav.2018.05.010" TargetMode="External" /><Relationship Type="http://schemas.openxmlformats.org/officeDocument/2006/relationships/hyperlink" Id="rId213" Target="https://doi.org/10.1016/j.anbehav.2020.11.004" TargetMode="External" /><Relationship Type="http://schemas.openxmlformats.org/officeDocument/2006/relationships/hyperlink" Id="rId74" Target="https://doi.org/10.1016/j.anbehav.2021.06.010" TargetMode="External" /><Relationship Type="http://schemas.openxmlformats.org/officeDocument/2006/relationships/hyperlink" Id="rId151" Target="https://doi.org/10.1016/j.cub.2021.09.048" TargetMode="External" /><Relationship Type="http://schemas.openxmlformats.org/officeDocument/2006/relationships/hyperlink" Id="rId123" Target="https://doi.org/10.1016/j.dcn.2011.05.008" TargetMode="External" /><Relationship Type="http://schemas.openxmlformats.org/officeDocument/2006/relationships/hyperlink" Id="rId245" Target="https://doi.org/10.1016/j.dsr2.2006.11.013" TargetMode="External" /><Relationship Type="http://schemas.openxmlformats.org/officeDocument/2006/relationships/hyperlink" Id="rId97" Target="https://doi.org/10.1016/j.jembe.2009.10.004" TargetMode="External" /><Relationship Type="http://schemas.openxmlformats.org/officeDocument/2006/relationships/hyperlink" Id="rId117" Target="https://doi.org/10.1016/j.jembe.2018.11.002" TargetMode="External" /><Relationship Type="http://schemas.openxmlformats.org/officeDocument/2006/relationships/hyperlink" Id="rId193" Target="https://doi.org/10.1016/j.tree.2018.03.005" TargetMode="External" /><Relationship Type="http://schemas.openxmlformats.org/officeDocument/2006/relationships/hyperlink" Id="rId54" Target="https://doi.org/10.1016/j.tree.2020.04.006" TargetMode="External" /><Relationship Type="http://schemas.openxmlformats.org/officeDocument/2006/relationships/hyperlink" Id="rId251" Target="https://doi.org/10.1038/nature25479" TargetMode="External" /><Relationship Type="http://schemas.openxmlformats.org/officeDocument/2006/relationships/hyperlink" Id="rId161" Target="https://doi.org/10.1038/s41467-017-00373-2" TargetMode="External" /><Relationship Type="http://schemas.openxmlformats.org/officeDocument/2006/relationships/hyperlink" Id="rId201" Target="https://doi.org/10.1038/s41598-019-41791-0" TargetMode="External" /><Relationship Type="http://schemas.openxmlformats.org/officeDocument/2006/relationships/hyperlink" Id="rId84" Target="https://doi.org/10.1038/srep26103" TargetMode="External" /><Relationship Type="http://schemas.openxmlformats.org/officeDocument/2006/relationships/hyperlink" Id="rId76" Target="https://doi.org/10.1038/srep40734" TargetMode="External" /><Relationship Type="http://schemas.openxmlformats.org/officeDocument/2006/relationships/hyperlink" Id="rId227" Target="https://doi.org/10.1046/j.1095-8649.2003.00228.x" TargetMode="External" /><Relationship Type="http://schemas.openxmlformats.org/officeDocument/2006/relationships/hyperlink" Id="rId104" Target="https://doi.org/10.1046/j.1365-2656.2003.00690.x" TargetMode="External" /><Relationship Type="http://schemas.openxmlformats.org/officeDocument/2006/relationships/hyperlink" Id="rId241" Target="https://doi.org/10.1046/j.1467-2979.2003.00125.x" TargetMode="External" /><Relationship Type="http://schemas.openxmlformats.org/officeDocument/2006/relationships/hyperlink" Id="rId218" Target="https://doi.org/10.1073/pnas.0709263105" TargetMode="External" /><Relationship Type="http://schemas.openxmlformats.org/officeDocument/2006/relationships/hyperlink" Id="rId211" Target="https://doi.org/10.1073/pnas.2117858119" TargetMode="External" /><Relationship Type="http://schemas.openxmlformats.org/officeDocument/2006/relationships/hyperlink" Id="rId72" Target="https://doi.org/10.1080/00028487.2011.603983" TargetMode="External" /><Relationship Type="http://schemas.openxmlformats.org/officeDocument/2006/relationships/hyperlink" Id="rId99" Target="https://doi.org/10.1080/03014223.1994.9517994" TargetMode="External" /><Relationship Type="http://schemas.openxmlformats.org/officeDocument/2006/relationships/hyperlink" Id="rId173" Target="https://doi.org/10.1086/518952" TargetMode="External" /><Relationship Type="http://schemas.openxmlformats.org/officeDocument/2006/relationships/hyperlink" Id="rId149" Target="https://doi.org/10.1086/673526" TargetMode="External" /><Relationship Type="http://schemas.openxmlformats.org/officeDocument/2006/relationships/hyperlink" Id="rId155" Target="https://doi.org/10.1093/beheco/araa123" TargetMode="External" /><Relationship Type="http://schemas.openxmlformats.org/officeDocument/2006/relationships/hyperlink" Id="rId106" Target="https://doi.org/10.1093/beheco/arac063" TargetMode="External" /><Relationship Type="http://schemas.openxmlformats.org/officeDocument/2006/relationships/hyperlink" Id="rId125" Target="https://doi.org/10.1093/beheco/arr062" TargetMode="External" /><Relationship Type="http://schemas.openxmlformats.org/officeDocument/2006/relationships/hyperlink" Id="rId203" Target="https://doi.org/10.1093/beheco/arw009" TargetMode="External" /><Relationship Type="http://schemas.openxmlformats.org/officeDocument/2006/relationships/hyperlink" Id="rId225" Target="https://doi.org/10.1093/beheco/arz016" TargetMode="External" /><Relationship Type="http://schemas.openxmlformats.org/officeDocument/2006/relationships/hyperlink" Id="rId62" Target="https://doi.org/10.1098/rsbl.2013.0592" TargetMode="External" /><Relationship Type="http://schemas.openxmlformats.org/officeDocument/2006/relationships/hyperlink" Id="rId177" Target="https://doi.org/10.1098/rsbl.2014.0630" TargetMode="External" /><Relationship Type="http://schemas.openxmlformats.org/officeDocument/2006/relationships/hyperlink" Id="rId159" Target="https://doi.org/10.1098/rsos.160352" TargetMode="External" /><Relationship Type="http://schemas.openxmlformats.org/officeDocument/2006/relationships/hyperlink" Id="rId197" Target="https://doi.org/10.1098/rspb.2018.1112" TargetMode="External" /><Relationship Type="http://schemas.openxmlformats.org/officeDocument/2006/relationships/hyperlink" Id="rId223" Target="https://doi.org/10.1111/1365-2656.12236" TargetMode="External" /><Relationship Type="http://schemas.openxmlformats.org/officeDocument/2006/relationships/hyperlink" Id="rId131" Target="https://doi.org/10.1111/1365-2656.12347" TargetMode="External" /><Relationship Type="http://schemas.openxmlformats.org/officeDocument/2006/relationships/hyperlink" Id="rId143" Target="https://doi.org/10.1111/1365-2656.13583" TargetMode="External" /><Relationship Type="http://schemas.openxmlformats.org/officeDocument/2006/relationships/hyperlink" Id="rId78" Target="https://doi.org/10.1111/2041-210X.12281" TargetMode="External" /><Relationship Type="http://schemas.openxmlformats.org/officeDocument/2006/relationships/hyperlink" Id="rId171" Target="https://doi.org/10.1111/2041-210X.13755" TargetMode="External" /><Relationship Type="http://schemas.openxmlformats.org/officeDocument/2006/relationships/hyperlink" Id="rId249" Target="https://doi.org/10.1111/brv.12131" TargetMode="External" /><Relationship Type="http://schemas.openxmlformats.org/officeDocument/2006/relationships/hyperlink" Id="rId257" Target="https://doi.org/10.1111/brv.12879" TargetMode="External" /><Relationship Type="http://schemas.openxmlformats.org/officeDocument/2006/relationships/hyperlink" Id="rId91" Target="https://doi.org/10.1111/cobi.13633" TargetMode="External" /><Relationship Type="http://schemas.openxmlformats.org/officeDocument/2006/relationships/hyperlink" Id="rId199" Target="https://doi.org/10.1111/conl.12113" TargetMode="External" /><Relationship Type="http://schemas.openxmlformats.org/officeDocument/2006/relationships/hyperlink" Id="rId80" Target="https://doi.org/10.1111/ele.12970" TargetMode="External" /><Relationship Type="http://schemas.openxmlformats.org/officeDocument/2006/relationships/hyperlink" Id="rId147" Target="https://doi.org/10.1111/eth.13272" TargetMode="External" /><Relationship Type="http://schemas.openxmlformats.org/officeDocument/2006/relationships/hyperlink" Id="rId68" Target="https://doi.org/10.1111/evo.12233" TargetMode="External" /><Relationship Type="http://schemas.openxmlformats.org/officeDocument/2006/relationships/hyperlink" Id="rId86" Target="https://doi.org/10.1111/evo.14427" TargetMode="External" /><Relationship Type="http://schemas.openxmlformats.org/officeDocument/2006/relationships/hyperlink" Id="rId179" Target="https://doi.org/10.1111/j.1095-8312.2012.01982.x" TargetMode="External" /><Relationship Type="http://schemas.openxmlformats.org/officeDocument/2006/relationships/hyperlink" Id="rId119" Target="https://doi.org/10.1111/j.1095-8649.1992.tb03870.x" TargetMode="External" /><Relationship Type="http://schemas.openxmlformats.org/officeDocument/2006/relationships/hyperlink" Id="rId239" Target="https://doi.org/10.1111/j.1365-2435.2005.01033.x" TargetMode="External" /><Relationship Type="http://schemas.openxmlformats.org/officeDocument/2006/relationships/hyperlink" Id="rId255" Target="https://doi.org/10.1111/j.1365-2656.2008.01429.x" TargetMode="External" /><Relationship Type="http://schemas.openxmlformats.org/officeDocument/2006/relationships/hyperlink" Id="rId58" Target="https://doi.org/10.1111/j.1420-9101.2006.01125.x" TargetMode="External" /><Relationship Type="http://schemas.openxmlformats.org/officeDocument/2006/relationships/hyperlink" Id="rId52" Target="https://doi.org/10.1111/j.1461-0248.2011.01662.x" TargetMode="External" /><Relationship Type="http://schemas.openxmlformats.org/officeDocument/2006/relationships/hyperlink" Id="rId139" Target="https://doi.org/10.1111/j.1467-9876.2006.00538.x" TargetMode="External" /><Relationship Type="http://schemas.openxmlformats.org/officeDocument/2006/relationships/hyperlink" Id="rId169" Target="https://doi.org/10.1111/j.1469-7998.2011.00791.x" TargetMode="External" /><Relationship Type="http://schemas.openxmlformats.org/officeDocument/2006/relationships/hyperlink" Id="rId237" Target="https://doi.org/10.1111/j.1558-5646.1985.tb00391.x" TargetMode="External" /><Relationship Type="http://schemas.openxmlformats.org/officeDocument/2006/relationships/hyperlink" Id="rId167" Target="https://doi.org/10.1111/j.1558-5646.2010.01187.x" TargetMode="External" /><Relationship Type="http://schemas.openxmlformats.org/officeDocument/2006/relationships/hyperlink" Id="rId189" Target="https://doi.org/10.1111/mms.12343" TargetMode="External" /><Relationship Type="http://schemas.openxmlformats.org/officeDocument/2006/relationships/hyperlink" Id="rId163" Target="https://doi.org/10.1111/oik.03642" TargetMode="External" /><Relationship Type="http://schemas.openxmlformats.org/officeDocument/2006/relationships/hyperlink" Id="rId145" Target="https://doi.org/10.1111/oik.08143" TargetMode="External" /><Relationship Type="http://schemas.openxmlformats.org/officeDocument/2006/relationships/hyperlink" Id="rId46" Target="https://doi.org/10.1146/annurev.ecolsys.31.1.79" TargetMode="External" /><Relationship Type="http://schemas.openxmlformats.org/officeDocument/2006/relationships/hyperlink" Id="rId195" Target="https://doi.org/10.1163/000579509X12512871386137" TargetMode="External" /><Relationship Type="http://schemas.openxmlformats.org/officeDocument/2006/relationships/hyperlink" Id="rId243" Target="https://doi.org/10.1163/1568539X-bja10040" TargetMode="External" /><Relationship Type="http://schemas.openxmlformats.org/officeDocument/2006/relationships/hyperlink" Id="rId231" Target="https://doi.org/10.1214/20-BA1221" TargetMode="External" /><Relationship Type="http://schemas.openxmlformats.org/officeDocument/2006/relationships/hyperlink" Id="rId115" Target="https://doi.org/10.1242/jeb.154534" TargetMode="External" /><Relationship Type="http://schemas.openxmlformats.org/officeDocument/2006/relationships/hyperlink" Id="rId175" Target="https://doi.org/10.1371/journal.pone.0087269" TargetMode="External" /><Relationship Type="http://schemas.openxmlformats.org/officeDocument/2006/relationships/hyperlink" Id="rId70" Target="https://doi.org/10.18637/jss.v080.i01" TargetMode="External" /><Relationship Type="http://schemas.openxmlformats.org/officeDocument/2006/relationships/hyperlink" Id="rId133" Target="https://doi.org/10.1890/0012-9658(2006)87[1599:RPPIAP]2.0.CO;2" TargetMode="External" /><Relationship Type="http://schemas.openxmlformats.org/officeDocument/2006/relationships/hyperlink" Id="rId82" Target="https://doi.org/10.1890/02-0208" TargetMode="External" /><Relationship Type="http://schemas.openxmlformats.org/officeDocument/2006/relationships/hyperlink" Id="rId247" Target="https://doi.org/10.1890/04-1866" TargetMode="External" /><Relationship Type="http://schemas.openxmlformats.org/officeDocument/2006/relationships/hyperlink" Id="rId135" Target="https://doi.org/10.1890/08-0238.1" TargetMode="External" /><Relationship Type="http://schemas.openxmlformats.org/officeDocument/2006/relationships/hyperlink" Id="rId111" Target="https://doi.org/10.1890/11-2153.1" TargetMode="External" /><Relationship Type="http://schemas.openxmlformats.org/officeDocument/2006/relationships/hyperlink" Id="rId66" Target="https://doi.org/10.2307/1313476" TargetMode="External" /><Relationship Type="http://schemas.openxmlformats.org/officeDocument/2006/relationships/hyperlink" Id="rId183" Target="https://doi.org/10.3354/meps12217" TargetMode="External" /><Relationship Type="http://schemas.openxmlformats.org/officeDocument/2006/relationships/hyperlink" Id="rId60" Target="https://doi.org/10.3354/meps244235" TargetMode="External" /><Relationship Type="http://schemas.openxmlformats.org/officeDocument/2006/relationships/hyperlink" Id="rId233" Target="https://doi.org/10.48550/arXiv.1507.02646" TargetMode="External" /><Relationship Type="http://schemas.openxmlformats.org/officeDocument/2006/relationships/hyperlink" Id="rId18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16"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2023-04-26T19:31:01Z</dcterms:created>
  <dcterms:modified xsi:type="dcterms:W3CDTF">2023-04-26T19:31:01Z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